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81"/>
        <w:gridCol w:w="2880"/>
        <w:gridCol w:w="1891"/>
        <w:gridCol w:w="2698"/>
      </w:tblGrid>
      <w:tr w:rsidR="00A03D93" w:rsidRPr="00C86C6F" w14:paraId="4C670A1F" w14:textId="77777777" w:rsidTr="009D097A">
        <w:trPr>
          <w:jc w:val="center"/>
        </w:trPr>
        <w:tc>
          <w:tcPr>
            <w:tcW w:w="5000" w:type="pct"/>
            <w:gridSpan w:val="4"/>
            <w:shd w:val="clear" w:color="auto" w:fill="000000" w:themeFill="text1"/>
          </w:tcPr>
          <w:p w14:paraId="7FB7E206" w14:textId="77777777" w:rsidR="00A03D93" w:rsidRPr="00C86C6F" w:rsidRDefault="001A41C0" w:rsidP="00C5636D">
            <w:pPr>
              <w:spacing w:line="240" w:lineRule="auto"/>
              <w:rPr>
                <w:rFonts w:ascii="Gilroy-Regular" w:hAnsi="Gilroy-Regular"/>
                <w:b/>
                <w:smallCaps/>
                <w:sz w:val="22"/>
                <w:szCs w:val="22"/>
              </w:rPr>
            </w:pPr>
            <w:r w:rsidRPr="00C86C6F">
              <w:rPr>
                <w:rFonts w:ascii="Gilroy-Regular" w:hAnsi="Gilroy-Regular"/>
                <w:b/>
                <w:smallCaps/>
                <w:sz w:val="22"/>
                <w:szCs w:val="22"/>
              </w:rPr>
              <w:t>Course Outline Policy</w:t>
            </w:r>
          </w:p>
        </w:tc>
      </w:tr>
      <w:tr w:rsidR="00A03D93" w:rsidRPr="00C86C6F" w14:paraId="2C2A18F0" w14:textId="77777777" w:rsidTr="00562A6E">
        <w:trPr>
          <w:trHeight w:val="372"/>
          <w:jc w:val="center"/>
        </w:trPr>
        <w:tc>
          <w:tcPr>
            <w:tcW w:w="1006" w:type="pct"/>
            <w:shd w:val="clear" w:color="auto" w:fill="185A7D"/>
          </w:tcPr>
          <w:p w14:paraId="27FC308A" w14:textId="77777777" w:rsidR="00A03D93" w:rsidRPr="00C86C6F" w:rsidRDefault="00A03D93" w:rsidP="00C5636D">
            <w:pPr>
              <w:spacing w:line="240" w:lineRule="auto"/>
              <w:rPr>
                <w:rFonts w:ascii="Gilroy-Regular" w:hAnsi="Gilroy-Regular"/>
                <w:b/>
                <w:color w:val="FFFFFF" w:themeColor="background1"/>
                <w:sz w:val="22"/>
                <w:szCs w:val="22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 w:val="22"/>
                <w:szCs w:val="22"/>
              </w:rPr>
              <w:t>Effective Date</w:t>
            </w:r>
          </w:p>
        </w:tc>
        <w:tc>
          <w:tcPr>
            <w:tcW w:w="1540" w:type="pct"/>
          </w:tcPr>
          <w:p w14:paraId="10DED97B" w14:textId="4B6FAF9D" w:rsidR="00A03D93" w:rsidRPr="00C86C6F" w:rsidRDefault="006F38DA" w:rsidP="00C5636D">
            <w:p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November 15, 2000</w:t>
            </w:r>
          </w:p>
        </w:tc>
        <w:tc>
          <w:tcPr>
            <w:tcW w:w="1011" w:type="pct"/>
            <w:shd w:val="clear" w:color="auto" w:fill="185A7D"/>
          </w:tcPr>
          <w:p w14:paraId="5049F1C4" w14:textId="77777777" w:rsidR="00A03D93" w:rsidRPr="00C86C6F" w:rsidRDefault="00442434" w:rsidP="00C5636D">
            <w:pPr>
              <w:spacing w:line="240" w:lineRule="auto"/>
              <w:jc w:val="both"/>
              <w:rPr>
                <w:rFonts w:ascii="Gilroy-Regular" w:hAnsi="Gilroy-Regular"/>
                <w:b/>
                <w:color w:val="FFFFFF" w:themeColor="background1"/>
                <w:sz w:val="22"/>
                <w:szCs w:val="22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 w:val="22"/>
                <w:szCs w:val="22"/>
              </w:rPr>
              <w:t>Policy Type</w:t>
            </w:r>
          </w:p>
        </w:tc>
        <w:tc>
          <w:tcPr>
            <w:tcW w:w="1443" w:type="pct"/>
          </w:tcPr>
          <w:p w14:paraId="3FCCBAE1" w14:textId="77777777" w:rsidR="00A03D93" w:rsidRPr="00C86C6F" w:rsidRDefault="008A6142" w:rsidP="00C5636D">
            <w:p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Academic</w:t>
            </w:r>
          </w:p>
        </w:tc>
      </w:tr>
      <w:tr w:rsidR="00A03D93" w:rsidRPr="00C86C6F" w14:paraId="11FE18B1" w14:textId="77777777" w:rsidTr="00C5636D">
        <w:trPr>
          <w:trHeight w:val="1797"/>
          <w:jc w:val="center"/>
        </w:trPr>
        <w:tc>
          <w:tcPr>
            <w:tcW w:w="1006" w:type="pct"/>
            <w:shd w:val="clear" w:color="auto" w:fill="185A7D"/>
          </w:tcPr>
          <w:p w14:paraId="660B88CD" w14:textId="77777777" w:rsidR="00A03D93" w:rsidRPr="00C86C6F" w:rsidRDefault="00A03D93" w:rsidP="00C5636D">
            <w:pPr>
              <w:spacing w:line="240" w:lineRule="auto"/>
              <w:rPr>
                <w:rFonts w:ascii="Gilroy-Regular" w:hAnsi="Gilroy-Regular"/>
                <w:b/>
                <w:color w:val="FFFFFF" w:themeColor="background1"/>
                <w:sz w:val="22"/>
                <w:szCs w:val="22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 w:val="22"/>
                <w:szCs w:val="22"/>
              </w:rPr>
              <w:t>Responsibility</w:t>
            </w:r>
          </w:p>
        </w:tc>
        <w:tc>
          <w:tcPr>
            <w:tcW w:w="1540" w:type="pct"/>
          </w:tcPr>
          <w:p w14:paraId="638C039A" w14:textId="0E7B5419" w:rsidR="0023433F" w:rsidRPr="00C86C6F" w:rsidRDefault="0023433F" w:rsidP="00C5636D">
            <w:p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 xml:space="preserve">Provost </w:t>
            </w:r>
            <w:r w:rsidR="00C5636D" w:rsidRPr="00C86C6F">
              <w:rPr>
                <w:rFonts w:ascii="Gilroy-Regular" w:hAnsi="Gilroy-Regular"/>
                <w:sz w:val="22"/>
                <w:szCs w:val="22"/>
              </w:rPr>
              <w:t>and</w:t>
            </w:r>
            <w:r w:rsidRPr="00C86C6F">
              <w:rPr>
                <w:rFonts w:ascii="Gilroy-Regular" w:hAnsi="Gilroy-Regular"/>
                <w:sz w:val="22"/>
                <w:szCs w:val="22"/>
              </w:rPr>
              <w:t xml:space="preserve"> Vice</w:t>
            </w:r>
            <w:r w:rsidR="00C5636D" w:rsidRPr="00C86C6F">
              <w:rPr>
                <w:rFonts w:ascii="Gilroy-Regular" w:hAnsi="Gilroy-Regular"/>
                <w:sz w:val="22"/>
                <w:szCs w:val="22"/>
              </w:rPr>
              <w:t>-</w:t>
            </w:r>
            <w:r w:rsidRPr="00C86C6F">
              <w:rPr>
                <w:rFonts w:ascii="Gilroy-Regular" w:hAnsi="Gilroy-Regular"/>
                <w:sz w:val="22"/>
                <w:szCs w:val="22"/>
              </w:rPr>
              <w:t xml:space="preserve"> President Academic</w:t>
            </w:r>
          </w:p>
        </w:tc>
        <w:tc>
          <w:tcPr>
            <w:tcW w:w="1011" w:type="pct"/>
            <w:shd w:val="clear" w:color="auto" w:fill="185A7D"/>
          </w:tcPr>
          <w:p w14:paraId="0D7310B4" w14:textId="77777777" w:rsidR="00A03D93" w:rsidRPr="00C86C6F" w:rsidRDefault="00442434" w:rsidP="00C5636D">
            <w:pPr>
              <w:spacing w:line="240" w:lineRule="auto"/>
              <w:jc w:val="both"/>
              <w:rPr>
                <w:rFonts w:ascii="Gilroy-Regular" w:hAnsi="Gilroy-Regular"/>
                <w:b/>
                <w:sz w:val="22"/>
                <w:szCs w:val="22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 w:val="22"/>
                <w:szCs w:val="22"/>
              </w:rPr>
              <w:t>Cross-Reference</w:t>
            </w:r>
          </w:p>
        </w:tc>
        <w:tc>
          <w:tcPr>
            <w:tcW w:w="1443" w:type="pct"/>
          </w:tcPr>
          <w:p w14:paraId="12547022" w14:textId="131270DF" w:rsidR="009A23BA" w:rsidRPr="00C86C6F" w:rsidRDefault="009A23BA" w:rsidP="00C5636D">
            <w:pPr>
              <w:pStyle w:val="ListParagraph"/>
              <w:numPr>
                <w:ilvl w:val="0"/>
                <w:numId w:val="8"/>
              </w:numPr>
              <w:tabs>
                <w:tab w:val="left" w:pos="324"/>
              </w:tabs>
              <w:spacing w:line="240" w:lineRule="auto"/>
              <w:ind w:hanging="720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Examination Policy</w:t>
            </w:r>
            <w:r w:rsidR="001B46F2" w:rsidRPr="00C86C6F">
              <w:rPr>
                <w:rFonts w:ascii="Gilroy-Regular" w:hAnsi="Gilroy-Regular"/>
                <w:sz w:val="22"/>
                <w:szCs w:val="22"/>
              </w:rPr>
              <w:t xml:space="preserve"> </w:t>
            </w:r>
          </w:p>
          <w:p w14:paraId="4C5E784E" w14:textId="77777777" w:rsidR="001E0D2C" w:rsidRPr="00C86C6F" w:rsidRDefault="001E0D2C" w:rsidP="00C5636D">
            <w:pPr>
              <w:pStyle w:val="ListParagraph"/>
              <w:numPr>
                <w:ilvl w:val="0"/>
                <w:numId w:val="8"/>
              </w:numPr>
              <w:tabs>
                <w:tab w:val="left" w:pos="324"/>
              </w:tabs>
              <w:spacing w:line="240" w:lineRule="auto"/>
              <w:ind w:hanging="720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Grading Policy</w:t>
            </w:r>
          </w:p>
          <w:p w14:paraId="2715FFAB" w14:textId="0CB6F73B" w:rsidR="001E0D2C" w:rsidRPr="00C86C6F" w:rsidRDefault="001E0D2C" w:rsidP="00C5636D">
            <w:pPr>
              <w:pStyle w:val="ListParagraph"/>
              <w:numPr>
                <w:ilvl w:val="0"/>
                <w:numId w:val="8"/>
              </w:numPr>
              <w:tabs>
                <w:tab w:val="left" w:pos="324"/>
              </w:tabs>
              <w:spacing w:line="240" w:lineRule="auto"/>
              <w:ind w:left="324" w:hanging="324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 xml:space="preserve">Student Rights and Responsibilities </w:t>
            </w:r>
            <w:r w:rsidR="00C5636D" w:rsidRPr="00C86C6F">
              <w:rPr>
                <w:rFonts w:ascii="Gilroy-Regular" w:hAnsi="Gilroy-Regular"/>
                <w:sz w:val="22"/>
                <w:szCs w:val="22"/>
              </w:rPr>
              <w:t>Policy</w:t>
            </w:r>
          </w:p>
        </w:tc>
      </w:tr>
      <w:tr w:rsidR="00A03D93" w:rsidRPr="00C86C6F" w14:paraId="1CC23808" w14:textId="77777777" w:rsidTr="00562A6E">
        <w:trPr>
          <w:jc w:val="center"/>
        </w:trPr>
        <w:tc>
          <w:tcPr>
            <w:tcW w:w="1006" w:type="pct"/>
            <w:shd w:val="clear" w:color="auto" w:fill="185A7D"/>
          </w:tcPr>
          <w:p w14:paraId="5C060269" w14:textId="77777777" w:rsidR="00A03D93" w:rsidRPr="00C86C6F" w:rsidRDefault="00A03D93" w:rsidP="00C5636D">
            <w:pPr>
              <w:spacing w:line="240" w:lineRule="auto"/>
              <w:rPr>
                <w:rFonts w:ascii="Gilroy-Regular" w:hAnsi="Gilroy-Regular"/>
                <w:b/>
                <w:color w:val="FFFFFF" w:themeColor="background1"/>
                <w:sz w:val="22"/>
                <w:szCs w:val="22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 w:val="22"/>
                <w:szCs w:val="22"/>
              </w:rPr>
              <w:t>Approver</w:t>
            </w:r>
          </w:p>
        </w:tc>
        <w:tc>
          <w:tcPr>
            <w:tcW w:w="1540" w:type="pct"/>
          </w:tcPr>
          <w:p w14:paraId="6D975441" w14:textId="7753E839" w:rsidR="00A03D93" w:rsidRPr="00C86C6F" w:rsidRDefault="00B9715E" w:rsidP="00C5636D">
            <w:p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 xml:space="preserve">Board of Governors </w:t>
            </w:r>
          </w:p>
        </w:tc>
        <w:tc>
          <w:tcPr>
            <w:tcW w:w="1011" w:type="pct"/>
            <w:vMerge w:val="restart"/>
            <w:shd w:val="clear" w:color="auto" w:fill="185A7D"/>
          </w:tcPr>
          <w:p w14:paraId="618820D8" w14:textId="77777777" w:rsidR="00A03D93" w:rsidRPr="00C86C6F" w:rsidRDefault="00A03D93" w:rsidP="00C5636D">
            <w:pPr>
              <w:spacing w:line="240" w:lineRule="auto"/>
              <w:jc w:val="both"/>
              <w:rPr>
                <w:rFonts w:ascii="Gilroy-Regular" w:hAnsi="Gilroy-Regular"/>
                <w:color w:val="FFFFFF" w:themeColor="background1"/>
                <w:sz w:val="22"/>
                <w:szCs w:val="22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 w:val="22"/>
                <w:szCs w:val="22"/>
              </w:rPr>
              <w:t>Appendices</w:t>
            </w:r>
          </w:p>
        </w:tc>
        <w:tc>
          <w:tcPr>
            <w:tcW w:w="1443" w:type="pct"/>
            <w:vMerge w:val="restart"/>
          </w:tcPr>
          <w:p w14:paraId="3E60F994" w14:textId="229BD516" w:rsidR="007A7757" w:rsidRPr="00C86C6F" w:rsidRDefault="007A7757" w:rsidP="00C86C6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25" w:hanging="325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Approval Process</w:t>
            </w:r>
          </w:p>
          <w:p w14:paraId="295366F4" w14:textId="03B6AA2F" w:rsidR="007A7757" w:rsidRPr="00C86C6F" w:rsidRDefault="007A7757" w:rsidP="00C86C6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25" w:hanging="325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Submission Process</w:t>
            </w:r>
            <w:r w:rsidR="00EB1630" w:rsidRPr="00C86C6F">
              <w:rPr>
                <w:rFonts w:ascii="Gilroy-Regular" w:hAnsi="Gilroy-Regular"/>
                <w:sz w:val="22"/>
                <w:szCs w:val="22"/>
              </w:rPr>
              <w:t xml:space="preserve"> </w:t>
            </w:r>
          </w:p>
          <w:p w14:paraId="6C87472B" w14:textId="6756C3FE" w:rsidR="00E715D5" w:rsidRPr="00C86C6F" w:rsidRDefault="00E715D5" w:rsidP="00C86C6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25" w:hanging="325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Course Outline Template</w:t>
            </w:r>
          </w:p>
        </w:tc>
      </w:tr>
      <w:tr w:rsidR="00A03D93" w:rsidRPr="00C86C6F" w14:paraId="795355B3" w14:textId="77777777" w:rsidTr="00562A6E">
        <w:trPr>
          <w:jc w:val="center"/>
        </w:trPr>
        <w:tc>
          <w:tcPr>
            <w:tcW w:w="1006" w:type="pct"/>
            <w:shd w:val="clear" w:color="auto" w:fill="185A7D"/>
          </w:tcPr>
          <w:p w14:paraId="61EC44AD" w14:textId="77777777" w:rsidR="00A03D93" w:rsidRPr="00C86C6F" w:rsidRDefault="00A03D93" w:rsidP="00C5636D">
            <w:pPr>
              <w:spacing w:line="240" w:lineRule="auto"/>
              <w:rPr>
                <w:rFonts w:ascii="Gilroy-Regular" w:hAnsi="Gilroy-Regular"/>
                <w:b/>
                <w:color w:val="FFFFFF" w:themeColor="background1"/>
                <w:sz w:val="22"/>
                <w:szCs w:val="22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 w:val="22"/>
                <w:szCs w:val="22"/>
              </w:rPr>
              <w:t>Review Schedule</w:t>
            </w:r>
          </w:p>
        </w:tc>
        <w:tc>
          <w:tcPr>
            <w:tcW w:w="1540" w:type="pct"/>
          </w:tcPr>
          <w:p w14:paraId="40137C69" w14:textId="77777777" w:rsidR="00A03D93" w:rsidRPr="00C86C6F" w:rsidRDefault="00185700" w:rsidP="00C5636D">
            <w:p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 xml:space="preserve">5 Years </w:t>
            </w:r>
          </w:p>
        </w:tc>
        <w:tc>
          <w:tcPr>
            <w:tcW w:w="1011" w:type="pct"/>
            <w:vMerge/>
            <w:shd w:val="clear" w:color="auto" w:fill="185A7D"/>
          </w:tcPr>
          <w:p w14:paraId="4698A0A3" w14:textId="77777777" w:rsidR="00A03D93" w:rsidRPr="00C86C6F" w:rsidRDefault="00A03D93" w:rsidP="00C5636D">
            <w:pPr>
              <w:spacing w:line="240" w:lineRule="auto"/>
              <w:rPr>
                <w:rFonts w:ascii="Gilroy-Regular" w:hAnsi="Gilroy-Regular"/>
                <w:b/>
                <w:sz w:val="22"/>
                <w:szCs w:val="22"/>
              </w:rPr>
            </w:pPr>
          </w:p>
        </w:tc>
        <w:tc>
          <w:tcPr>
            <w:tcW w:w="1443" w:type="pct"/>
            <w:vMerge/>
          </w:tcPr>
          <w:p w14:paraId="6857548B" w14:textId="77777777" w:rsidR="00A03D93" w:rsidRPr="00C86C6F" w:rsidRDefault="00A03D93" w:rsidP="00C5636D">
            <w:pPr>
              <w:pStyle w:val="ListParagraph"/>
              <w:spacing w:line="240" w:lineRule="auto"/>
              <w:ind w:left="0"/>
              <w:rPr>
                <w:rFonts w:ascii="Gilroy-Regular" w:hAnsi="Gilroy-Regular"/>
                <w:sz w:val="22"/>
                <w:szCs w:val="22"/>
              </w:rPr>
            </w:pPr>
          </w:p>
        </w:tc>
      </w:tr>
    </w:tbl>
    <w:p w14:paraId="0D0BA1E0" w14:textId="77777777" w:rsidR="00A03D93" w:rsidRPr="00C86C6F" w:rsidRDefault="00A03D93" w:rsidP="00C5636D">
      <w:pPr>
        <w:pStyle w:val="ITNumbered123"/>
        <w:numPr>
          <w:ilvl w:val="0"/>
          <w:numId w:val="1"/>
        </w:numPr>
        <w:spacing w:line="240" w:lineRule="auto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Policy Statement</w:t>
      </w:r>
    </w:p>
    <w:p w14:paraId="124DCCF1" w14:textId="133300A8" w:rsidR="00A03D93" w:rsidRPr="00C86C6F" w:rsidRDefault="0023433F" w:rsidP="00C5636D">
      <w:pPr>
        <w:pStyle w:val="ListParagraph"/>
        <w:numPr>
          <w:ilvl w:val="1"/>
          <w:numId w:val="1"/>
        </w:numPr>
        <w:spacing w:before="120" w:line="240" w:lineRule="auto"/>
        <w:ind w:hanging="595"/>
        <w:contextualSpacing w:val="0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Northwestern Polytechnic </w:t>
      </w:r>
      <w:r w:rsidR="00290928" w:rsidRPr="00C86C6F">
        <w:rPr>
          <w:rFonts w:ascii="Gilroy-Regular" w:hAnsi="Gilroy-Regular"/>
          <w:sz w:val="22"/>
          <w:szCs w:val="22"/>
        </w:rPr>
        <w:t>(“</w:t>
      </w:r>
      <w:r w:rsidRPr="00C86C6F">
        <w:rPr>
          <w:rFonts w:ascii="Gilroy-Regular" w:hAnsi="Gilroy-Regular"/>
          <w:sz w:val="22"/>
          <w:szCs w:val="22"/>
        </w:rPr>
        <w:t>NWP</w:t>
      </w:r>
      <w:r w:rsidR="00290928" w:rsidRPr="00C86C6F">
        <w:rPr>
          <w:rFonts w:ascii="Gilroy-Regular" w:hAnsi="Gilroy-Regular"/>
          <w:sz w:val="22"/>
          <w:szCs w:val="22"/>
        </w:rPr>
        <w:t>” or the “</w:t>
      </w:r>
      <w:r w:rsidRPr="00C86C6F">
        <w:rPr>
          <w:rFonts w:ascii="Gilroy-Regular" w:hAnsi="Gilroy-Regular"/>
          <w:sz w:val="22"/>
          <w:szCs w:val="22"/>
        </w:rPr>
        <w:t>Polytechnic</w:t>
      </w:r>
      <w:r w:rsidR="00290928" w:rsidRPr="00C86C6F">
        <w:rPr>
          <w:rFonts w:ascii="Gilroy-Regular" w:hAnsi="Gilroy-Regular"/>
          <w:sz w:val="22"/>
          <w:szCs w:val="22"/>
        </w:rPr>
        <w:t>”)</w:t>
      </w:r>
      <w:r w:rsidR="001F5488" w:rsidRPr="00C86C6F">
        <w:rPr>
          <w:rFonts w:ascii="Gilroy-Regular" w:hAnsi="Gilroy-Regular"/>
          <w:sz w:val="22"/>
          <w:szCs w:val="22"/>
        </w:rPr>
        <w:t xml:space="preserve"> respects students’ rights to information and expectations regarding their learning activities.</w:t>
      </w:r>
      <w:r w:rsidR="001B46F2" w:rsidRPr="00C86C6F">
        <w:rPr>
          <w:rFonts w:ascii="Gilroy-Regular" w:hAnsi="Gilroy-Regular"/>
          <w:sz w:val="22"/>
          <w:szCs w:val="22"/>
        </w:rPr>
        <w:t xml:space="preserve"> </w:t>
      </w:r>
      <w:r w:rsidR="001F5488" w:rsidRPr="00C86C6F">
        <w:rPr>
          <w:rFonts w:ascii="Gilroy-Regular" w:hAnsi="Gilroy-Regular"/>
          <w:sz w:val="22"/>
          <w:szCs w:val="22"/>
        </w:rPr>
        <w:t>All course requirements and the criteria used in course evaluations mu</w:t>
      </w:r>
      <w:r w:rsidR="0013559C" w:rsidRPr="00C86C6F">
        <w:rPr>
          <w:rFonts w:ascii="Gilroy-Regular" w:hAnsi="Gilroy-Regular"/>
          <w:sz w:val="22"/>
          <w:szCs w:val="22"/>
        </w:rPr>
        <w:t>st be explicitly stated in the Course O</w:t>
      </w:r>
      <w:r w:rsidR="001F5488" w:rsidRPr="00C86C6F">
        <w:rPr>
          <w:rFonts w:ascii="Gilroy-Regular" w:hAnsi="Gilroy-Regular"/>
          <w:sz w:val="22"/>
          <w:szCs w:val="22"/>
        </w:rPr>
        <w:t>utline.</w:t>
      </w:r>
      <w:r w:rsidR="001B46F2" w:rsidRPr="00C86C6F">
        <w:rPr>
          <w:rFonts w:ascii="Gilroy-Regular" w:hAnsi="Gilroy-Regular"/>
          <w:sz w:val="22"/>
          <w:szCs w:val="22"/>
        </w:rPr>
        <w:t xml:space="preserve"> </w:t>
      </w:r>
      <w:r w:rsidR="001F5488" w:rsidRPr="00C86C6F">
        <w:rPr>
          <w:rFonts w:ascii="Gilroy-Regular" w:hAnsi="Gilroy-Regular"/>
          <w:sz w:val="22"/>
          <w:szCs w:val="22"/>
        </w:rPr>
        <w:t xml:space="preserve">Course outlines are deemed to be permanent record of academic activity at </w:t>
      </w:r>
      <w:r w:rsidRPr="00C86C6F">
        <w:rPr>
          <w:rFonts w:ascii="Gilroy-Regular" w:hAnsi="Gilroy-Regular"/>
          <w:sz w:val="22"/>
          <w:szCs w:val="22"/>
        </w:rPr>
        <w:t>NWP</w:t>
      </w:r>
      <w:r w:rsidR="001F5488" w:rsidRPr="00C86C6F">
        <w:rPr>
          <w:rFonts w:ascii="Gilroy-Regular" w:hAnsi="Gilroy-Regular"/>
          <w:sz w:val="22"/>
          <w:szCs w:val="22"/>
        </w:rPr>
        <w:t xml:space="preserve"> and as such must match details presented in the </w:t>
      </w:r>
      <w:r w:rsidRPr="00C86C6F">
        <w:rPr>
          <w:rFonts w:ascii="Gilroy-Regular" w:hAnsi="Gilroy-Regular"/>
          <w:sz w:val="22"/>
          <w:szCs w:val="22"/>
        </w:rPr>
        <w:t>NWP</w:t>
      </w:r>
      <w:r w:rsidR="001F5488" w:rsidRPr="00C86C6F">
        <w:rPr>
          <w:rFonts w:ascii="Gilroy-Regular" w:hAnsi="Gilroy-Regular"/>
          <w:sz w:val="22"/>
          <w:szCs w:val="22"/>
        </w:rPr>
        <w:t xml:space="preserve"> </w:t>
      </w:r>
      <w:r w:rsidR="003269B3" w:rsidRPr="00C86C6F">
        <w:rPr>
          <w:rFonts w:ascii="Gilroy-Regular" w:hAnsi="Gilroy-Regular"/>
          <w:sz w:val="22"/>
          <w:szCs w:val="22"/>
        </w:rPr>
        <w:t>Academic Calendar</w:t>
      </w:r>
      <w:r w:rsidR="001F5488" w:rsidRPr="00C86C6F">
        <w:rPr>
          <w:rFonts w:ascii="Gilroy-Regular" w:hAnsi="Gilroy-Regular"/>
          <w:sz w:val="22"/>
          <w:szCs w:val="22"/>
        </w:rPr>
        <w:t xml:space="preserve"> for the academic year. </w:t>
      </w:r>
    </w:p>
    <w:p w14:paraId="4DBC06BA" w14:textId="77777777" w:rsidR="00185700" w:rsidRPr="00C86C6F" w:rsidRDefault="00A03D93" w:rsidP="00C5636D">
      <w:pPr>
        <w:pStyle w:val="ITNumbered123"/>
        <w:numPr>
          <w:ilvl w:val="0"/>
          <w:numId w:val="1"/>
        </w:numPr>
        <w:spacing w:line="240" w:lineRule="auto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Background</w:t>
      </w:r>
    </w:p>
    <w:p w14:paraId="7463E732" w14:textId="535793A0" w:rsidR="00C505CD" w:rsidRPr="00C86C6F" w:rsidRDefault="009C1D84" w:rsidP="00C5636D">
      <w:pPr>
        <w:pStyle w:val="ListParagraph"/>
        <w:numPr>
          <w:ilvl w:val="1"/>
          <w:numId w:val="1"/>
        </w:numPr>
        <w:spacing w:before="120" w:line="240" w:lineRule="auto"/>
        <w:ind w:hanging="595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The standardization of Course Outlines is a priority for </w:t>
      </w:r>
      <w:r w:rsidR="0023433F" w:rsidRPr="00C86C6F">
        <w:rPr>
          <w:rFonts w:ascii="Gilroy-Regular" w:hAnsi="Gilroy-Regular"/>
          <w:sz w:val="22"/>
          <w:szCs w:val="22"/>
        </w:rPr>
        <w:t>NWP</w:t>
      </w:r>
      <w:r w:rsidRPr="00C86C6F">
        <w:rPr>
          <w:rFonts w:ascii="Gilroy-Regular" w:hAnsi="Gilroy-Regular"/>
          <w:sz w:val="22"/>
          <w:szCs w:val="22"/>
        </w:rPr>
        <w:t>.</w:t>
      </w:r>
      <w:r w:rsidR="001B46F2" w:rsidRPr="00C86C6F">
        <w:rPr>
          <w:rFonts w:ascii="Gilroy-Regular" w:hAnsi="Gilroy-Regular"/>
          <w:sz w:val="22"/>
          <w:szCs w:val="22"/>
        </w:rPr>
        <w:t xml:space="preserve"> </w:t>
      </w:r>
      <w:r w:rsidRPr="00C86C6F">
        <w:rPr>
          <w:rFonts w:ascii="Gilroy-Regular" w:hAnsi="Gilroy-Regular"/>
          <w:sz w:val="22"/>
          <w:szCs w:val="22"/>
        </w:rPr>
        <w:t xml:space="preserve">Students, </w:t>
      </w:r>
      <w:proofErr w:type="gramStart"/>
      <w:r w:rsidRPr="00C86C6F">
        <w:rPr>
          <w:rFonts w:ascii="Gilroy-Regular" w:hAnsi="Gilroy-Regular"/>
          <w:sz w:val="22"/>
          <w:szCs w:val="22"/>
        </w:rPr>
        <w:t>faculty</w:t>
      </w:r>
      <w:proofErr w:type="gramEnd"/>
      <w:r w:rsidRPr="00C86C6F">
        <w:rPr>
          <w:rFonts w:ascii="Gilroy-Regular" w:hAnsi="Gilroy-Regular"/>
          <w:sz w:val="22"/>
          <w:szCs w:val="22"/>
        </w:rPr>
        <w:t xml:space="preserve"> and staff must follow standar</w:t>
      </w:r>
      <w:r w:rsidR="00290928" w:rsidRPr="00C86C6F">
        <w:rPr>
          <w:rFonts w:ascii="Gilroy-Regular" w:hAnsi="Gilroy-Regular"/>
          <w:sz w:val="22"/>
          <w:szCs w:val="22"/>
        </w:rPr>
        <w:t xml:space="preserve">dized practice to ensure clear and </w:t>
      </w:r>
      <w:r w:rsidRPr="00C86C6F">
        <w:rPr>
          <w:rFonts w:ascii="Gilroy-Regular" w:hAnsi="Gilroy-Regular"/>
          <w:sz w:val="22"/>
          <w:szCs w:val="22"/>
        </w:rPr>
        <w:t xml:space="preserve">concise communication of expectations. </w:t>
      </w:r>
    </w:p>
    <w:p w14:paraId="57F0B2DE" w14:textId="77777777" w:rsidR="00A03D93" w:rsidRPr="00C86C6F" w:rsidRDefault="00A03D93" w:rsidP="00C5636D">
      <w:pPr>
        <w:pStyle w:val="ITNumbered123"/>
        <w:numPr>
          <w:ilvl w:val="0"/>
          <w:numId w:val="1"/>
        </w:numPr>
        <w:spacing w:line="240" w:lineRule="auto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Policy Objective</w:t>
      </w:r>
    </w:p>
    <w:p w14:paraId="480ACA49" w14:textId="2A710FD3" w:rsidR="009C1D84" w:rsidRPr="00C86C6F" w:rsidRDefault="009C1D84" w:rsidP="00C5636D">
      <w:pPr>
        <w:pStyle w:val="ListParagraph"/>
        <w:numPr>
          <w:ilvl w:val="1"/>
          <w:numId w:val="1"/>
        </w:numPr>
        <w:spacing w:before="0" w:after="120" w:line="240" w:lineRule="auto"/>
        <w:ind w:left="1020" w:hanging="595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To ensure all faculty are aware of the expectations of the Course Outline.</w:t>
      </w:r>
    </w:p>
    <w:p w14:paraId="20596B58" w14:textId="6AFFD934" w:rsidR="009C1D84" w:rsidRPr="00C86C6F" w:rsidRDefault="009C1D84" w:rsidP="00C5636D">
      <w:pPr>
        <w:pStyle w:val="ListParagraph"/>
        <w:numPr>
          <w:ilvl w:val="1"/>
          <w:numId w:val="1"/>
        </w:numPr>
        <w:spacing w:before="120" w:line="240" w:lineRule="auto"/>
        <w:ind w:hanging="595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To ensure students know</w:t>
      </w:r>
      <w:r w:rsidR="003B2035" w:rsidRPr="00C86C6F">
        <w:rPr>
          <w:rFonts w:ascii="Gilroy-Regular" w:hAnsi="Gilroy-Regular"/>
          <w:sz w:val="22"/>
          <w:szCs w:val="22"/>
        </w:rPr>
        <w:t xml:space="preserve"> their rights and responsibilities within</w:t>
      </w:r>
      <w:r w:rsidR="00984411" w:rsidRPr="00C86C6F">
        <w:rPr>
          <w:rFonts w:ascii="Gilroy-Regular" w:hAnsi="Gilroy-Regular"/>
          <w:sz w:val="22"/>
          <w:szCs w:val="22"/>
        </w:rPr>
        <w:t xml:space="preserve"> a</w:t>
      </w:r>
      <w:r w:rsidR="00C5636D" w:rsidRPr="00C86C6F">
        <w:rPr>
          <w:rFonts w:ascii="Gilroy-Regular" w:hAnsi="Gilroy-Regular"/>
          <w:sz w:val="22"/>
          <w:szCs w:val="22"/>
        </w:rPr>
        <w:t>n</w:t>
      </w:r>
      <w:r w:rsidR="00984411" w:rsidRPr="00C86C6F">
        <w:rPr>
          <w:rFonts w:ascii="Gilroy-Regular" w:hAnsi="Gilroy-Regular"/>
          <w:sz w:val="22"/>
          <w:szCs w:val="22"/>
        </w:rPr>
        <w:t xml:space="preserve"> NWP </w:t>
      </w:r>
      <w:r w:rsidR="003B2035" w:rsidRPr="00C86C6F">
        <w:rPr>
          <w:rFonts w:ascii="Gilroy-Regular" w:hAnsi="Gilroy-Regular"/>
          <w:sz w:val="22"/>
          <w:szCs w:val="22"/>
        </w:rPr>
        <w:t>course</w:t>
      </w:r>
      <w:r w:rsidRPr="00C86C6F">
        <w:rPr>
          <w:rFonts w:ascii="Gilroy-Regular" w:hAnsi="Gilroy-Regular"/>
          <w:sz w:val="22"/>
          <w:szCs w:val="22"/>
        </w:rPr>
        <w:t>.</w:t>
      </w:r>
    </w:p>
    <w:p w14:paraId="392D2D65" w14:textId="77777777" w:rsidR="00A03D93" w:rsidRPr="00C86C6F" w:rsidRDefault="00A03D93" w:rsidP="00C5636D">
      <w:pPr>
        <w:pStyle w:val="ITNumbered123"/>
        <w:numPr>
          <w:ilvl w:val="0"/>
          <w:numId w:val="1"/>
        </w:numPr>
        <w:spacing w:line="240" w:lineRule="auto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Scope </w:t>
      </w:r>
    </w:p>
    <w:p w14:paraId="153352E9" w14:textId="61C744DA" w:rsidR="00A03D93" w:rsidRPr="00C86C6F" w:rsidRDefault="009C1D84" w:rsidP="00C5636D">
      <w:pPr>
        <w:pStyle w:val="ListParagraph"/>
        <w:numPr>
          <w:ilvl w:val="1"/>
          <w:numId w:val="1"/>
        </w:numPr>
        <w:spacing w:before="120" w:line="240" w:lineRule="auto"/>
        <w:ind w:hanging="595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lastRenderedPageBreak/>
        <w:t xml:space="preserve">This policy </w:t>
      </w:r>
      <w:r w:rsidR="003B2035" w:rsidRPr="00C86C6F">
        <w:rPr>
          <w:rFonts w:ascii="Gilroy-Regular" w:hAnsi="Gilroy-Regular"/>
          <w:sz w:val="22"/>
          <w:szCs w:val="22"/>
        </w:rPr>
        <w:t xml:space="preserve">applies to all </w:t>
      </w:r>
      <w:r w:rsidR="0023433F" w:rsidRPr="00C86C6F">
        <w:rPr>
          <w:rFonts w:ascii="Gilroy-Regular" w:hAnsi="Gilroy-Regular"/>
          <w:sz w:val="22"/>
          <w:szCs w:val="22"/>
        </w:rPr>
        <w:t>NWP</w:t>
      </w:r>
      <w:r w:rsidR="003B2035" w:rsidRPr="00C86C6F">
        <w:rPr>
          <w:rFonts w:ascii="Gilroy-Regular" w:hAnsi="Gilroy-Regular"/>
          <w:sz w:val="22"/>
          <w:szCs w:val="22"/>
        </w:rPr>
        <w:t xml:space="preserve"> Course Outlines for credit courses.</w:t>
      </w:r>
      <w:r w:rsidR="001B46F2" w:rsidRPr="00C86C6F">
        <w:rPr>
          <w:rFonts w:ascii="Gilroy-Regular" w:hAnsi="Gilroy-Regular"/>
          <w:sz w:val="22"/>
          <w:szCs w:val="22"/>
        </w:rPr>
        <w:t xml:space="preserve"> </w:t>
      </w:r>
    </w:p>
    <w:p w14:paraId="6D00789A" w14:textId="77777777" w:rsidR="001F5488" w:rsidRPr="00C86C6F" w:rsidRDefault="00A03D93" w:rsidP="00C5636D">
      <w:pPr>
        <w:pStyle w:val="ITNumbered123"/>
        <w:numPr>
          <w:ilvl w:val="0"/>
          <w:numId w:val="1"/>
        </w:numPr>
        <w:spacing w:line="240" w:lineRule="auto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Definitions</w:t>
      </w:r>
    </w:p>
    <w:p w14:paraId="461FA27B" w14:textId="6EAC39DF" w:rsidR="00393ECB" w:rsidRPr="00C86C6F" w:rsidRDefault="00393ECB" w:rsidP="00C5636D">
      <w:pPr>
        <w:pStyle w:val="ListParagraph"/>
        <w:numPr>
          <w:ilvl w:val="1"/>
          <w:numId w:val="1"/>
        </w:numPr>
        <w:spacing w:before="120" w:after="240" w:line="240" w:lineRule="auto"/>
        <w:ind w:left="1020" w:hanging="595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“Academic Calendar” is the official publication</w:t>
      </w:r>
      <w:r w:rsidR="003758BF" w:rsidRPr="00C86C6F">
        <w:rPr>
          <w:rFonts w:ascii="Gilroy-Regular" w:hAnsi="Gilroy-Regular"/>
          <w:sz w:val="22"/>
          <w:szCs w:val="22"/>
        </w:rPr>
        <w:t xml:space="preserve"> that</w:t>
      </w:r>
      <w:r w:rsidRPr="00C86C6F">
        <w:rPr>
          <w:rFonts w:ascii="Gilroy-Regular" w:hAnsi="Gilroy-Regular"/>
          <w:sz w:val="22"/>
          <w:szCs w:val="22"/>
        </w:rPr>
        <w:t xml:space="preserve"> articulates graduation requirements for students admitted to </w:t>
      </w:r>
      <w:r w:rsidR="0023433F" w:rsidRPr="00C86C6F">
        <w:rPr>
          <w:rFonts w:ascii="Gilroy-Regular" w:hAnsi="Gilroy-Regular"/>
          <w:sz w:val="22"/>
          <w:szCs w:val="22"/>
        </w:rPr>
        <w:t>NWP</w:t>
      </w:r>
      <w:r w:rsidRPr="00C86C6F">
        <w:rPr>
          <w:rFonts w:ascii="Gilroy-Regular" w:hAnsi="Gilroy-Regular"/>
          <w:sz w:val="22"/>
          <w:szCs w:val="22"/>
        </w:rPr>
        <w:t xml:space="preserve"> programs under a particular calendar year.</w:t>
      </w:r>
    </w:p>
    <w:p w14:paraId="46A9304F" w14:textId="5F61CD60" w:rsidR="0061021C" w:rsidRPr="00C86C6F" w:rsidRDefault="0061021C" w:rsidP="00C5636D">
      <w:pPr>
        <w:pStyle w:val="ListParagraph"/>
        <w:numPr>
          <w:ilvl w:val="1"/>
          <w:numId w:val="1"/>
        </w:numPr>
        <w:spacing w:before="120" w:line="240" w:lineRule="auto"/>
        <w:ind w:hanging="595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“Business Days” are days on which the </w:t>
      </w:r>
      <w:r w:rsidR="0023433F" w:rsidRPr="00C86C6F">
        <w:rPr>
          <w:rFonts w:ascii="Gilroy-Regular" w:hAnsi="Gilroy-Regular"/>
          <w:sz w:val="22"/>
          <w:szCs w:val="22"/>
        </w:rPr>
        <w:t>Polytechnic</w:t>
      </w:r>
      <w:r w:rsidRPr="00C86C6F">
        <w:rPr>
          <w:rFonts w:ascii="Gilroy-Regular" w:hAnsi="Gilroy-Regular"/>
          <w:sz w:val="22"/>
          <w:szCs w:val="22"/>
        </w:rPr>
        <w:t xml:space="preserve"> is open for service.</w:t>
      </w:r>
    </w:p>
    <w:p w14:paraId="56CF2485" w14:textId="77777777" w:rsidR="00C5636D" w:rsidRPr="00C86C6F" w:rsidRDefault="00C5636D" w:rsidP="00C5636D">
      <w:pPr>
        <w:spacing w:before="120" w:line="240" w:lineRule="auto"/>
        <w:jc w:val="both"/>
        <w:rPr>
          <w:rFonts w:ascii="Gilroy-Regular" w:hAnsi="Gilroy-Regular"/>
          <w:sz w:val="22"/>
          <w:szCs w:val="22"/>
        </w:rPr>
      </w:pPr>
    </w:p>
    <w:p w14:paraId="7F815B39" w14:textId="77777777" w:rsidR="00C5636D" w:rsidRPr="00C86C6F" w:rsidRDefault="00C5636D" w:rsidP="00C5636D">
      <w:pPr>
        <w:spacing w:before="120" w:line="240" w:lineRule="auto"/>
        <w:jc w:val="both"/>
        <w:rPr>
          <w:rFonts w:ascii="Gilroy-Regular" w:hAnsi="Gilroy-Regular"/>
          <w:sz w:val="22"/>
          <w:szCs w:val="22"/>
        </w:rPr>
      </w:pPr>
    </w:p>
    <w:p w14:paraId="51B3B1F7" w14:textId="77777777" w:rsidR="00B20D5A" w:rsidRPr="00C86C6F" w:rsidRDefault="00B20D5A" w:rsidP="00C5636D">
      <w:pPr>
        <w:pStyle w:val="ListParagraph"/>
        <w:numPr>
          <w:ilvl w:val="1"/>
          <w:numId w:val="1"/>
        </w:numPr>
        <w:spacing w:before="120" w:after="240" w:line="240" w:lineRule="auto"/>
        <w:ind w:hanging="595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“Course Outline”</w:t>
      </w:r>
      <w:r w:rsidR="00810E5D" w:rsidRPr="00C86C6F">
        <w:rPr>
          <w:rFonts w:ascii="Gilroy-Regular" w:hAnsi="Gilroy-Regular"/>
          <w:sz w:val="22"/>
          <w:szCs w:val="22"/>
        </w:rPr>
        <w:t xml:space="preserve"> is a formal document that provides key details about an academic course regarding, but n</w:t>
      </w:r>
      <w:r w:rsidR="0013559C" w:rsidRPr="00C86C6F">
        <w:rPr>
          <w:rFonts w:ascii="Gilroy-Regular" w:hAnsi="Gilroy-Regular"/>
          <w:sz w:val="22"/>
          <w:szCs w:val="22"/>
        </w:rPr>
        <w:t xml:space="preserve">ot limited to, course content, Learning </w:t>
      </w:r>
      <w:proofErr w:type="gramStart"/>
      <w:r w:rsidR="0013559C" w:rsidRPr="00C86C6F">
        <w:rPr>
          <w:rFonts w:ascii="Gilroy-Regular" w:hAnsi="Gilroy-Regular"/>
          <w:sz w:val="22"/>
          <w:szCs w:val="22"/>
        </w:rPr>
        <w:t>O</w:t>
      </w:r>
      <w:r w:rsidR="00810E5D" w:rsidRPr="00C86C6F">
        <w:rPr>
          <w:rFonts w:ascii="Gilroy-Regular" w:hAnsi="Gilroy-Regular"/>
          <w:sz w:val="22"/>
          <w:szCs w:val="22"/>
        </w:rPr>
        <w:t>utcomes</w:t>
      </w:r>
      <w:proofErr w:type="gramEnd"/>
      <w:r w:rsidR="00810E5D" w:rsidRPr="00C86C6F">
        <w:rPr>
          <w:rFonts w:ascii="Gilroy-Regular" w:hAnsi="Gilroy-Regular"/>
          <w:sz w:val="22"/>
          <w:szCs w:val="22"/>
        </w:rPr>
        <w:t xml:space="preserve"> and grading for the purpose of providing course expectations to instructors, students, and other academic institutions.</w:t>
      </w:r>
    </w:p>
    <w:p w14:paraId="75BF3D86" w14:textId="5022DBCB" w:rsidR="001E0D2C" w:rsidRPr="00C86C6F" w:rsidRDefault="003B2035" w:rsidP="00C5636D">
      <w:pPr>
        <w:pStyle w:val="ListParagraph"/>
        <w:numPr>
          <w:ilvl w:val="1"/>
          <w:numId w:val="1"/>
        </w:numPr>
        <w:spacing w:before="120" w:after="240" w:line="240" w:lineRule="auto"/>
        <w:ind w:hanging="595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“Learning Outcomes” describe what a student must be able to</w:t>
      </w:r>
      <w:r w:rsidR="00775449" w:rsidRPr="00C86C6F">
        <w:rPr>
          <w:rFonts w:ascii="Gilroy-Regular" w:hAnsi="Gilroy-Regular"/>
          <w:sz w:val="22"/>
          <w:szCs w:val="22"/>
        </w:rPr>
        <w:t xml:space="preserve"> demonstrate for successful completion of a course.</w:t>
      </w:r>
    </w:p>
    <w:p w14:paraId="03DF69EC" w14:textId="0A020ED6" w:rsidR="00F80D76" w:rsidRPr="00C86C6F" w:rsidRDefault="001E0D2C" w:rsidP="00C5636D">
      <w:pPr>
        <w:pStyle w:val="ListParagraph"/>
        <w:numPr>
          <w:ilvl w:val="1"/>
          <w:numId w:val="1"/>
        </w:numPr>
        <w:spacing w:before="120" w:after="240" w:line="240" w:lineRule="auto"/>
        <w:ind w:left="1020" w:hanging="595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“University Transfer Courses” are delivered by </w:t>
      </w:r>
      <w:r w:rsidR="0023433F" w:rsidRPr="00C86C6F">
        <w:rPr>
          <w:rFonts w:ascii="Gilroy-Regular" w:hAnsi="Gilroy-Regular"/>
          <w:sz w:val="22"/>
          <w:szCs w:val="22"/>
        </w:rPr>
        <w:t>NWP</w:t>
      </w:r>
      <w:r w:rsidRPr="00C86C6F">
        <w:rPr>
          <w:rFonts w:ascii="Gilroy-Regular" w:hAnsi="Gilroy-Regular"/>
          <w:sz w:val="22"/>
          <w:szCs w:val="22"/>
        </w:rPr>
        <w:t xml:space="preserve"> and recognized for credit as listed in the Alberta Transfer Guide published annually by the Alberta Council on Admissions and Transfer</w:t>
      </w:r>
      <w:r w:rsidR="0055162A" w:rsidRPr="00C86C6F">
        <w:rPr>
          <w:rFonts w:ascii="Gilroy-Regular" w:hAnsi="Gilroy-Regular"/>
          <w:sz w:val="22"/>
          <w:szCs w:val="22"/>
        </w:rPr>
        <w:t xml:space="preserve"> (ACAT).</w:t>
      </w:r>
    </w:p>
    <w:p w14:paraId="2CEF43A0" w14:textId="77777777" w:rsidR="001A41C0" w:rsidRPr="00C86C6F" w:rsidRDefault="00A03D93" w:rsidP="00C5636D">
      <w:pPr>
        <w:pStyle w:val="ListParagraph"/>
        <w:numPr>
          <w:ilvl w:val="0"/>
          <w:numId w:val="1"/>
        </w:numPr>
        <w:spacing w:before="120" w:line="240" w:lineRule="auto"/>
        <w:contextualSpacing w:val="0"/>
        <w:jc w:val="both"/>
        <w:rPr>
          <w:rFonts w:ascii="Gilroy-Regular" w:hAnsi="Gilroy-Regular"/>
          <w:b/>
          <w:sz w:val="22"/>
          <w:szCs w:val="22"/>
        </w:rPr>
      </w:pPr>
      <w:r w:rsidRPr="00C86C6F">
        <w:rPr>
          <w:rFonts w:ascii="Gilroy-Regular" w:hAnsi="Gilroy-Regular"/>
          <w:b/>
          <w:sz w:val="22"/>
          <w:szCs w:val="22"/>
        </w:rPr>
        <w:t>Guiding Principles</w:t>
      </w:r>
    </w:p>
    <w:p w14:paraId="72021023" w14:textId="0A03E010" w:rsidR="00492D6A" w:rsidRPr="00C86C6F" w:rsidRDefault="00492D6A" w:rsidP="00C5636D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Course Outlines are the property of </w:t>
      </w:r>
      <w:r w:rsidR="0023433F" w:rsidRPr="00C86C6F">
        <w:rPr>
          <w:rFonts w:ascii="Gilroy-Regular" w:hAnsi="Gilroy-Regular"/>
          <w:sz w:val="22"/>
          <w:szCs w:val="22"/>
        </w:rPr>
        <w:t>NWP</w:t>
      </w:r>
      <w:r w:rsidRPr="00C86C6F">
        <w:rPr>
          <w:rFonts w:ascii="Gilroy-Regular" w:hAnsi="Gilroy-Regular"/>
          <w:sz w:val="22"/>
          <w:szCs w:val="22"/>
        </w:rPr>
        <w:t>.</w:t>
      </w:r>
      <w:r w:rsidR="001B46F2" w:rsidRPr="00C86C6F">
        <w:rPr>
          <w:rFonts w:ascii="Gilroy-Regular" w:hAnsi="Gilroy-Regular"/>
          <w:sz w:val="22"/>
          <w:szCs w:val="22"/>
        </w:rPr>
        <w:t xml:space="preserve"> </w:t>
      </w:r>
    </w:p>
    <w:p w14:paraId="543205B3" w14:textId="77777777" w:rsidR="005E54F1" w:rsidRPr="00C86C6F" w:rsidRDefault="005E54F1" w:rsidP="00C5636D">
      <w:pPr>
        <w:pStyle w:val="ListParagraph"/>
        <w:numPr>
          <w:ilvl w:val="1"/>
          <w:numId w:val="1"/>
        </w:numPr>
        <w:spacing w:before="120" w:after="240" w:line="240" w:lineRule="auto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Course Outlines must be approved as per the Approval Process in Appendix 1. </w:t>
      </w:r>
    </w:p>
    <w:p w14:paraId="1E118EF4" w14:textId="1C90890C" w:rsidR="005E54F1" w:rsidRPr="00C86C6F" w:rsidRDefault="005E54F1" w:rsidP="00C5636D">
      <w:pPr>
        <w:pStyle w:val="ListParagraph"/>
        <w:numPr>
          <w:ilvl w:val="1"/>
          <w:numId w:val="1"/>
        </w:numPr>
        <w:spacing w:before="120" w:after="240" w:line="240" w:lineRule="auto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Course Outlines must be submitted as per the </w:t>
      </w:r>
      <w:r w:rsidR="00C5636D" w:rsidRPr="00C86C6F">
        <w:rPr>
          <w:rFonts w:ascii="Gilroy-Regular" w:hAnsi="Gilroy-Regular"/>
          <w:sz w:val="22"/>
          <w:szCs w:val="22"/>
        </w:rPr>
        <w:t>S</w:t>
      </w:r>
      <w:r w:rsidRPr="00C86C6F">
        <w:rPr>
          <w:rFonts w:ascii="Gilroy-Regular" w:hAnsi="Gilroy-Regular"/>
          <w:sz w:val="22"/>
          <w:szCs w:val="22"/>
        </w:rPr>
        <w:t xml:space="preserve">ubmission Process in Appendix 2. </w:t>
      </w:r>
    </w:p>
    <w:p w14:paraId="22A5E1D6" w14:textId="190F6685" w:rsidR="001A41C0" w:rsidRPr="00C86C6F" w:rsidRDefault="00B20D5A" w:rsidP="00C5636D">
      <w:pPr>
        <w:pStyle w:val="ListParagraph"/>
        <w:numPr>
          <w:ilvl w:val="1"/>
          <w:numId w:val="1"/>
        </w:numPr>
        <w:spacing w:before="120" w:after="240" w:line="240" w:lineRule="auto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Electronic copies of Course O</w:t>
      </w:r>
      <w:r w:rsidR="001F5488" w:rsidRPr="00C86C6F">
        <w:rPr>
          <w:rFonts w:ascii="Gilroy-Regular" w:hAnsi="Gilroy-Regular"/>
          <w:sz w:val="22"/>
          <w:szCs w:val="22"/>
        </w:rPr>
        <w:t>utlines will be available in the Department, the</w:t>
      </w:r>
      <w:r w:rsidR="00DA34ED" w:rsidRPr="00C86C6F">
        <w:rPr>
          <w:rFonts w:ascii="Gilroy-Regular" w:hAnsi="Gilroy-Regular"/>
          <w:sz w:val="22"/>
          <w:szCs w:val="22"/>
        </w:rPr>
        <w:t xml:space="preserve"> Registrar’s Office and on the </w:t>
      </w:r>
      <w:r w:rsidR="0023433F" w:rsidRPr="00C86C6F">
        <w:rPr>
          <w:rFonts w:ascii="Gilroy-Regular" w:hAnsi="Gilroy-Regular"/>
          <w:sz w:val="22"/>
          <w:szCs w:val="22"/>
        </w:rPr>
        <w:t>NWP</w:t>
      </w:r>
      <w:r w:rsidR="001F5488" w:rsidRPr="00C86C6F">
        <w:rPr>
          <w:rFonts w:ascii="Gilroy-Regular" w:hAnsi="Gilroy-Regular"/>
          <w:sz w:val="22"/>
          <w:szCs w:val="22"/>
        </w:rPr>
        <w:t xml:space="preserve"> website. </w:t>
      </w:r>
    </w:p>
    <w:p w14:paraId="50D59540" w14:textId="77777777" w:rsidR="001A41C0" w:rsidRPr="00C86C6F" w:rsidRDefault="00B20D5A" w:rsidP="00C5636D">
      <w:pPr>
        <w:pStyle w:val="ListParagraph"/>
        <w:numPr>
          <w:ilvl w:val="1"/>
          <w:numId w:val="1"/>
        </w:numPr>
        <w:spacing w:before="120" w:after="240" w:line="240" w:lineRule="auto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The Registrar’s O</w:t>
      </w:r>
      <w:r w:rsidR="001F5488" w:rsidRPr="00C86C6F">
        <w:rPr>
          <w:rFonts w:ascii="Gilroy-Regular" w:hAnsi="Gilroy-Regular"/>
          <w:sz w:val="22"/>
          <w:szCs w:val="22"/>
        </w:rPr>
        <w:t>ffice will supply templates for the departments to use</w:t>
      </w:r>
      <w:r w:rsidRPr="00C86C6F">
        <w:rPr>
          <w:rFonts w:ascii="Gilroy-Regular" w:hAnsi="Gilroy-Regular"/>
          <w:sz w:val="22"/>
          <w:szCs w:val="22"/>
        </w:rPr>
        <w:t xml:space="preserve"> when creating Course O</w:t>
      </w:r>
      <w:r w:rsidR="001F5488" w:rsidRPr="00C86C6F">
        <w:rPr>
          <w:rFonts w:ascii="Gilroy-Regular" w:hAnsi="Gilroy-Regular"/>
          <w:sz w:val="22"/>
          <w:szCs w:val="22"/>
        </w:rPr>
        <w:t>utlines.</w:t>
      </w:r>
      <w:r w:rsidR="005E54F1" w:rsidRPr="00C86C6F">
        <w:rPr>
          <w:rFonts w:ascii="Gilroy-Regular" w:hAnsi="Gilroy-Regular"/>
          <w:sz w:val="22"/>
          <w:szCs w:val="22"/>
        </w:rPr>
        <w:t xml:space="preserve"> See Appendix 3</w:t>
      </w:r>
      <w:r w:rsidR="00886A11" w:rsidRPr="00C86C6F">
        <w:rPr>
          <w:rFonts w:ascii="Gilroy-Regular" w:hAnsi="Gilroy-Regular"/>
          <w:sz w:val="22"/>
          <w:szCs w:val="22"/>
        </w:rPr>
        <w:t xml:space="preserve"> for</w:t>
      </w:r>
      <w:r w:rsidR="00DA34ED" w:rsidRPr="00C86C6F">
        <w:rPr>
          <w:rFonts w:ascii="Gilroy-Regular" w:hAnsi="Gilroy-Regular"/>
          <w:sz w:val="22"/>
          <w:szCs w:val="22"/>
        </w:rPr>
        <w:t xml:space="preserve"> the</w:t>
      </w:r>
      <w:r w:rsidR="00886A11" w:rsidRPr="00C86C6F">
        <w:rPr>
          <w:rFonts w:ascii="Gilroy-Regular" w:hAnsi="Gilroy-Regular"/>
          <w:sz w:val="22"/>
          <w:szCs w:val="22"/>
        </w:rPr>
        <w:t xml:space="preserve"> Course Outline Template. </w:t>
      </w:r>
    </w:p>
    <w:p w14:paraId="2CCB8F2B" w14:textId="77777777" w:rsidR="001A41C0" w:rsidRPr="00C86C6F" w:rsidRDefault="00B20D5A" w:rsidP="00C5636D">
      <w:pPr>
        <w:pStyle w:val="ListParagraph"/>
        <w:numPr>
          <w:ilvl w:val="1"/>
          <w:numId w:val="1"/>
        </w:numPr>
        <w:spacing w:before="120" w:after="240" w:line="240" w:lineRule="auto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The standard f</w:t>
      </w:r>
      <w:r w:rsidR="001F5488" w:rsidRPr="00C86C6F">
        <w:rPr>
          <w:rFonts w:ascii="Gilroy-Regular" w:hAnsi="Gilroy-Regular"/>
          <w:sz w:val="22"/>
          <w:szCs w:val="22"/>
        </w:rPr>
        <w:t xml:space="preserve">ormat </w:t>
      </w:r>
      <w:r w:rsidRPr="00C86C6F">
        <w:rPr>
          <w:rFonts w:ascii="Gilroy-Regular" w:hAnsi="Gilroy-Regular"/>
          <w:sz w:val="22"/>
          <w:szCs w:val="22"/>
        </w:rPr>
        <w:t>for all Course O</w:t>
      </w:r>
      <w:r w:rsidR="001F5488" w:rsidRPr="00C86C6F">
        <w:rPr>
          <w:rFonts w:ascii="Gilroy-Regular" w:hAnsi="Gilroy-Regular"/>
          <w:sz w:val="22"/>
          <w:szCs w:val="22"/>
        </w:rPr>
        <w:t>utlines will provide a minimum of, but will not be restricted to, the following:</w:t>
      </w:r>
    </w:p>
    <w:p w14:paraId="18403313" w14:textId="77777777" w:rsidR="001A41C0" w:rsidRPr="00C86C6F" w:rsidRDefault="001F5488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Session details – updated to reflect the current academic year.</w:t>
      </w:r>
      <w:r w:rsidR="002D5271" w:rsidRPr="00C86C6F">
        <w:rPr>
          <w:rFonts w:ascii="Gilroy-Regular" w:hAnsi="Gilroy-Regular"/>
          <w:sz w:val="22"/>
          <w:szCs w:val="22"/>
        </w:rPr>
        <w:tab/>
      </w:r>
    </w:p>
    <w:p w14:paraId="71F41A32" w14:textId="77777777" w:rsidR="001A41C0" w:rsidRPr="00C86C6F" w:rsidRDefault="001F5488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Course number and title.</w:t>
      </w:r>
    </w:p>
    <w:p w14:paraId="3C9DD624" w14:textId="77777777" w:rsidR="001A41C0" w:rsidRPr="00C86C6F" w:rsidRDefault="001F5488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lastRenderedPageBreak/>
        <w:t xml:space="preserve">Credit/contact hours as per </w:t>
      </w:r>
      <w:r w:rsidR="003269B3" w:rsidRPr="00C86C6F">
        <w:rPr>
          <w:rFonts w:ascii="Gilroy-Regular" w:hAnsi="Gilroy-Regular"/>
          <w:sz w:val="22"/>
          <w:szCs w:val="22"/>
        </w:rPr>
        <w:t xml:space="preserve">Academic </w:t>
      </w:r>
      <w:r w:rsidRPr="00C86C6F">
        <w:rPr>
          <w:rFonts w:ascii="Gilroy-Regular" w:hAnsi="Gilroy-Regular"/>
          <w:sz w:val="22"/>
          <w:szCs w:val="22"/>
        </w:rPr>
        <w:t xml:space="preserve">Calendar description – </w:t>
      </w:r>
      <w:r w:rsidR="000553C9" w:rsidRPr="00C86C6F">
        <w:rPr>
          <w:rFonts w:ascii="Gilroy-Regular" w:hAnsi="Gilroy-Regular"/>
          <w:sz w:val="22"/>
          <w:szCs w:val="22"/>
        </w:rPr>
        <w:t>credit hours for the course and</w:t>
      </w:r>
      <w:r w:rsidR="002D5271" w:rsidRPr="00C86C6F">
        <w:rPr>
          <w:rFonts w:ascii="Gilroy-Regular" w:hAnsi="Gilroy-Regular"/>
          <w:sz w:val="22"/>
          <w:szCs w:val="22"/>
        </w:rPr>
        <w:t xml:space="preserve"> </w:t>
      </w:r>
      <w:r w:rsidRPr="00C86C6F">
        <w:rPr>
          <w:rFonts w:ascii="Gilroy-Regular" w:hAnsi="Gilroy-Regular"/>
          <w:sz w:val="22"/>
          <w:szCs w:val="22"/>
        </w:rPr>
        <w:t>the student contact hours (lecture, seminar, lab/clinic, work experience, etc.).</w:t>
      </w:r>
    </w:p>
    <w:p w14:paraId="0E2D052A" w14:textId="7EDCBF13" w:rsidR="001A41C0" w:rsidRPr="00C86C6F" w:rsidRDefault="001F5488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Instructor details – name and contact information (</w:t>
      </w:r>
      <w:r w:rsidR="0023433F" w:rsidRPr="00C86C6F">
        <w:rPr>
          <w:rFonts w:ascii="Gilroy-Regular" w:hAnsi="Gilroy-Regular"/>
          <w:sz w:val="22"/>
          <w:szCs w:val="22"/>
        </w:rPr>
        <w:t>NWP</w:t>
      </w:r>
      <w:r w:rsidRPr="00C86C6F">
        <w:rPr>
          <w:rFonts w:ascii="Gilroy-Regular" w:hAnsi="Gilroy-Regular"/>
          <w:sz w:val="22"/>
          <w:szCs w:val="22"/>
        </w:rPr>
        <w:t xml:space="preserve"> telephone number, office location, office hours, and email address).</w:t>
      </w:r>
    </w:p>
    <w:p w14:paraId="702BC6D1" w14:textId="711C0401" w:rsidR="001A41C0" w:rsidRPr="00C86C6F" w:rsidRDefault="001F5488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Delivery mode(s) – For example, one or more of lecture, laboratory, clinical, seminar, practicum, work experience, </w:t>
      </w:r>
      <w:r w:rsidR="00327A3B" w:rsidRPr="00C86C6F">
        <w:rPr>
          <w:rFonts w:ascii="Gilroy-Regular" w:hAnsi="Gilroy-Regular"/>
          <w:sz w:val="22"/>
          <w:szCs w:val="22"/>
        </w:rPr>
        <w:t>synchronous, asynchronous, or on-campus</w:t>
      </w:r>
      <w:r w:rsidR="00CA680D" w:rsidRPr="00C86C6F">
        <w:rPr>
          <w:rFonts w:ascii="Gilroy-Regular" w:hAnsi="Gilroy-Regular"/>
          <w:sz w:val="22"/>
          <w:szCs w:val="22"/>
        </w:rPr>
        <w:t xml:space="preserve">, </w:t>
      </w:r>
      <w:r w:rsidR="006E508C" w:rsidRPr="00C86C6F">
        <w:rPr>
          <w:rFonts w:ascii="Gilroy-Regular" w:hAnsi="Gilroy-Regular"/>
          <w:sz w:val="22"/>
          <w:szCs w:val="22"/>
        </w:rPr>
        <w:t xml:space="preserve">hybrid, </w:t>
      </w:r>
      <w:r w:rsidR="00CA680D" w:rsidRPr="00C86C6F">
        <w:rPr>
          <w:rFonts w:ascii="Gilroy-Regular" w:hAnsi="Gilroy-Regular"/>
          <w:sz w:val="22"/>
          <w:szCs w:val="22"/>
        </w:rPr>
        <w:t>etc.</w:t>
      </w:r>
    </w:p>
    <w:p w14:paraId="5A77205B" w14:textId="77777777" w:rsidR="001A41C0" w:rsidRPr="00C86C6F" w:rsidRDefault="00F96FF9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Prerequisite,</w:t>
      </w:r>
      <w:r w:rsidR="001F5488" w:rsidRPr="00C86C6F">
        <w:rPr>
          <w:rFonts w:ascii="Gilroy-Regular" w:hAnsi="Gilroy-Regular"/>
          <w:sz w:val="22"/>
          <w:szCs w:val="22"/>
        </w:rPr>
        <w:t xml:space="preserve"> corequisite and other course qualifiers (restrictions, etc.).</w:t>
      </w:r>
    </w:p>
    <w:p w14:paraId="27213A92" w14:textId="77777777" w:rsidR="001A41C0" w:rsidRPr="00C86C6F" w:rsidRDefault="002D5271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Resource requirements – textbooks, required and optional, and other required course materials.</w:t>
      </w:r>
    </w:p>
    <w:p w14:paraId="40D0C204" w14:textId="759B3608" w:rsidR="001A41C0" w:rsidRPr="00C86C6F" w:rsidRDefault="003269B3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Calendar</w:t>
      </w:r>
      <w:r w:rsidR="002D5271" w:rsidRPr="00C86C6F">
        <w:rPr>
          <w:rFonts w:ascii="Gilroy-Regular" w:hAnsi="Gilroy-Regular"/>
          <w:sz w:val="22"/>
          <w:szCs w:val="22"/>
        </w:rPr>
        <w:t xml:space="preserve"> d</w:t>
      </w:r>
      <w:r w:rsidR="00B20D5A" w:rsidRPr="00C86C6F">
        <w:rPr>
          <w:rFonts w:ascii="Gilroy-Regular" w:hAnsi="Gilroy-Regular"/>
          <w:sz w:val="22"/>
          <w:szCs w:val="22"/>
        </w:rPr>
        <w:t xml:space="preserve">escription (as per </w:t>
      </w:r>
      <w:r w:rsidR="0023433F" w:rsidRPr="00C86C6F">
        <w:rPr>
          <w:rFonts w:ascii="Gilroy-Regular" w:hAnsi="Gilroy-Regular"/>
          <w:sz w:val="22"/>
          <w:szCs w:val="22"/>
        </w:rPr>
        <w:t>NWP</w:t>
      </w:r>
      <w:r w:rsidR="00B20D5A" w:rsidRPr="00C86C6F">
        <w:rPr>
          <w:rFonts w:ascii="Gilroy-Regular" w:hAnsi="Gilroy-Regular"/>
          <w:sz w:val="22"/>
          <w:szCs w:val="22"/>
        </w:rPr>
        <w:t xml:space="preserve"> </w:t>
      </w:r>
      <w:r w:rsidRPr="00C86C6F">
        <w:rPr>
          <w:rFonts w:ascii="Gilroy-Regular" w:hAnsi="Gilroy-Regular"/>
          <w:sz w:val="22"/>
          <w:szCs w:val="22"/>
        </w:rPr>
        <w:t xml:space="preserve">Academic </w:t>
      </w:r>
      <w:r w:rsidR="00B20D5A" w:rsidRPr="00C86C6F">
        <w:rPr>
          <w:rFonts w:ascii="Gilroy-Regular" w:hAnsi="Gilroy-Regular"/>
          <w:sz w:val="22"/>
          <w:szCs w:val="22"/>
        </w:rPr>
        <w:t>C</w:t>
      </w:r>
      <w:r w:rsidR="002D5271" w:rsidRPr="00C86C6F">
        <w:rPr>
          <w:rFonts w:ascii="Gilroy-Regular" w:hAnsi="Gilroy-Regular"/>
          <w:sz w:val="22"/>
          <w:szCs w:val="22"/>
        </w:rPr>
        <w:t>alendar)</w:t>
      </w:r>
      <w:r w:rsidR="000553C9" w:rsidRPr="00C86C6F">
        <w:rPr>
          <w:rFonts w:ascii="Gilroy-Regular" w:hAnsi="Gilroy-Regular"/>
          <w:sz w:val="22"/>
          <w:szCs w:val="22"/>
        </w:rPr>
        <w:t>.</w:t>
      </w:r>
    </w:p>
    <w:p w14:paraId="2C048C64" w14:textId="192E4D14" w:rsidR="001A41C0" w:rsidRPr="00C86C6F" w:rsidRDefault="002D5271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Additional costs – any other special req</w:t>
      </w:r>
      <w:r w:rsidR="000553C9" w:rsidRPr="00C86C6F">
        <w:rPr>
          <w:rFonts w:ascii="Gilroy-Regular" w:hAnsi="Gilroy-Regular"/>
          <w:sz w:val="22"/>
          <w:szCs w:val="22"/>
        </w:rPr>
        <w:t>uired costs such as</w:t>
      </w:r>
      <w:r w:rsidR="00663EB8" w:rsidRPr="00C86C6F">
        <w:rPr>
          <w:rFonts w:ascii="Gilroy-Regular" w:hAnsi="Gilroy-Regular"/>
          <w:sz w:val="22"/>
          <w:szCs w:val="22"/>
        </w:rPr>
        <w:t xml:space="preserve"> exam proctoring,</w:t>
      </w:r>
      <w:r w:rsidR="000553C9" w:rsidRPr="00C86C6F">
        <w:rPr>
          <w:rFonts w:ascii="Gilroy-Regular" w:hAnsi="Gilroy-Regular"/>
          <w:sz w:val="22"/>
          <w:szCs w:val="22"/>
        </w:rPr>
        <w:t xml:space="preserve"> field trips</w:t>
      </w:r>
      <w:r w:rsidR="00663EB8" w:rsidRPr="00C86C6F">
        <w:rPr>
          <w:rFonts w:ascii="Gilroy-Regular" w:hAnsi="Gilroy-Regular"/>
          <w:sz w:val="22"/>
          <w:szCs w:val="22"/>
        </w:rPr>
        <w:t>,</w:t>
      </w:r>
      <w:r w:rsidR="000553C9" w:rsidRPr="00C86C6F">
        <w:rPr>
          <w:rFonts w:ascii="Gilroy-Regular" w:hAnsi="Gilroy-Regular"/>
          <w:sz w:val="22"/>
          <w:szCs w:val="22"/>
        </w:rPr>
        <w:t xml:space="preserve"> or</w:t>
      </w:r>
      <w:r w:rsidRPr="00C86C6F">
        <w:rPr>
          <w:rFonts w:ascii="Gilroy-Regular" w:hAnsi="Gilroy-Regular"/>
          <w:sz w:val="22"/>
          <w:szCs w:val="22"/>
        </w:rPr>
        <w:t xml:space="preserve"> materials.</w:t>
      </w:r>
      <w:r w:rsidR="001B46F2" w:rsidRPr="00C86C6F">
        <w:rPr>
          <w:rFonts w:ascii="Gilroy-Regular" w:hAnsi="Gilroy-Regular"/>
          <w:sz w:val="22"/>
          <w:szCs w:val="22"/>
        </w:rPr>
        <w:t xml:space="preserve"> </w:t>
      </w:r>
    </w:p>
    <w:p w14:paraId="458A9698" w14:textId="77777777" w:rsidR="001A41C0" w:rsidRPr="00C86C6F" w:rsidRDefault="002D5271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Learning Outcomes</w:t>
      </w:r>
    </w:p>
    <w:p w14:paraId="70C01CE2" w14:textId="77F649AD" w:rsidR="00C32D73" w:rsidRPr="00C86C6F" w:rsidRDefault="00C32D73" w:rsidP="00C5636D">
      <w:pPr>
        <w:pStyle w:val="ListParagraph"/>
        <w:numPr>
          <w:ilvl w:val="3"/>
          <w:numId w:val="7"/>
        </w:numPr>
        <w:spacing w:before="120" w:line="240" w:lineRule="auto"/>
        <w:ind w:left="2835" w:hanging="850"/>
        <w:contextualSpacing w:val="0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The learning outcomes are achievable by the learner within the context of the course.</w:t>
      </w:r>
    </w:p>
    <w:p w14:paraId="1520F7E0" w14:textId="37EB5909" w:rsidR="00C32D73" w:rsidRPr="00C86C6F" w:rsidRDefault="00C32D73" w:rsidP="00C5636D">
      <w:pPr>
        <w:pStyle w:val="ListParagraph"/>
        <w:numPr>
          <w:ilvl w:val="3"/>
          <w:numId w:val="7"/>
        </w:numPr>
        <w:spacing w:before="120" w:line="240" w:lineRule="auto"/>
        <w:ind w:left="2835" w:hanging="850"/>
        <w:contextualSpacing w:val="0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They are </w:t>
      </w:r>
      <w:r w:rsidR="00A94213" w:rsidRPr="00C86C6F">
        <w:rPr>
          <w:rFonts w:ascii="Gilroy-Regular" w:hAnsi="Gilroy-Regular"/>
          <w:sz w:val="22"/>
          <w:szCs w:val="22"/>
        </w:rPr>
        <w:t>measurable</w:t>
      </w:r>
      <w:r w:rsidRPr="00C86C6F">
        <w:rPr>
          <w:rFonts w:ascii="Gilroy-Regular" w:hAnsi="Gilroy-Regular"/>
          <w:sz w:val="22"/>
          <w:szCs w:val="22"/>
        </w:rPr>
        <w:t xml:space="preserve"> in terms of assessing the desired performance.</w:t>
      </w:r>
    </w:p>
    <w:p w14:paraId="2CD203E6" w14:textId="77777777" w:rsidR="00C32D73" w:rsidRPr="00C86C6F" w:rsidRDefault="00C32D73" w:rsidP="00C5636D">
      <w:pPr>
        <w:pStyle w:val="ListParagraph"/>
        <w:numPr>
          <w:ilvl w:val="3"/>
          <w:numId w:val="7"/>
        </w:numPr>
        <w:spacing w:before="120" w:line="240" w:lineRule="auto"/>
        <w:ind w:left="2835" w:hanging="850"/>
        <w:contextualSpacing w:val="0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They are relevant, clearly stated from the learner’s perspective, and concise.</w:t>
      </w:r>
    </w:p>
    <w:p w14:paraId="0FEC58E3" w14:textId="3E75756C" w:rsidR="00C32D73" w:rsidRPr="00C86C6F" w:rsidRDefault="00C32D73" w:rsidP="00C5636D">
      <w:pPr>
        <w:pStyle w:val="ListParagraph"/>
        <w:numPr>
          <w:ilvl w:val="3"/>
          <w:numId w:val="7"/>
        </w:numPr>
        <w:spacing w:before="120" w:line="240" w:lineRule="auto"/>
        <w:ind w:left="2835" w:hanging="850"/>
        <w:contextualSpacing w:val="0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The learning activities and assignments are aligned with the learning outcomes and match those provided in the course outline/syllabus. </w:t>
      </w:r>
    </w:p>
    <w:p w14:paraId="629ECF32" w14:textId="6415D5B5" w:rsidR="00B9715E" w:rsidRPr="00C86C6F" w:rsidRDefault="00B9715E" w:rsidP="00C5636D">
      <w:pPr>
        <w:pStyle w:val="ListParagraph"/>
        <w:numPr>
          <w:ilvl w:val="3"/>
          <w:numId w:val="7"/>
        </w:numPr>
        <w:spacing w:before="120" w:line="240" w:lineRule="auto"/>
        <w:ind w:left="2835" w:hanging="850"/>
        <w:contextualSpacing w:val="0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The learning outcomes are in alignment with program outcomes. </w:t>
      </w:r>
    </w:p>
    <w:p w14:paraId="791AB721" w14:textId="77777777" w:rsidR="001A41C0" w:rsidRPr="00C86C6F" w:rsidRDefault="002D5271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Timelines – identify a tentative schedule for major activities and </w:t>
      </w:r>
      <w:proofErr w:type="gramStart"/>
      <w:r w:rsidRPr="00C86C6F">
        <w:rPr>
          <w:rFonts w:ascii="Gilroy-Regular" w:hAnsi="Gilroy-Regular"/>
          <w:sz w:val="22"/>
          <w:szCs w:val="22"/>
        </w:rPr>
        <w:t>evaluations, and</w:t>
      </w:r>
      <w:proofErr w:type="gramEnd"/>
      <w:r w:rsidRPr="00C86C6F">
        <w:rPr>
          <w:rFonts w:ascii="Gilroy-Regular" w:hAnsi="Gilroy-Regular"/>
          <w:sz w:val="22"/>
          <w:szCs w:val="22"/>
        </w:rPr>
        <w:t xml:space="preserve"> indicate the consequence of noncompliance.</w:t>
      </w:r>
    </w:p>
    <w:p w14:paraId="10F075D0" w14:textId="296EABDB" w:rsidR="00F96FF9" w:rsidRPr="00C86C6F" w:rsidRDefault="00F96FF9" w:rsidP="00C5636D">
      <w:pPr>
        <w:pStyle w:val="ListParagraph"/>
        <w:numPr>
          <w:ilvl w:val="3"/>
          <w:numId w:val="1"/>
        </w:numPr>
        <w:spacing w:before="120" w:line="240" w:lineRule="auto"/>
        <w:ind w:hanging="283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The course timelines will show that the academic </w:t>
      </w:r>
      <w:r w:rsidR="00F9048E" w:rsidRPr="00C86C6F">
        <w:rPr>
          <w:rFonts w:ascii="Gilroy-Regular" w:hAnsi="Gilroy-Regular"/>
          <w:sz w:val="22"/>
          <w:szCs w:val="22"/>
        </w:rPr>
        <w:t>semester</w:t>
      </w:r>
      <w:r w:rsidRPr="00C86C6F">
        <w:rPr>
          <w:rFonts w:ascii="Gilroy-Regular" w:hAnsi="Gilroy-Regular"/>
          <w:sz w:val="22"/>
          <w:szCs w:val="22"/>
        </w:rPr>
        <w:t xml:space="preserve"> </w:t>
      </w:r>
      <w:r w:rsidR="00A94213" w:rsidRPr="00C86C6F">
        <w:rPr>
          <w:rFonts w:ascii="Gilroy-Regular" w:hAnsi="Gilroy-Regular"/>
          <w:sz w:val="22"/>
          <w:szCs w:val="22"/>
        </w:rPr>
        <w:tab/>
      </w:r>
      <w:r w:rsidR="00A94213" w:rsidRPr="00C86C6F">
        <w:rPr>
          <w:rFonts w:ascii="Gilroy-Regular" w:hAnsi="Gilroy-Regular"/>
          <w:sz w:val="22"/>
          <w:szCs w:val="22"/>
        </w:rPr>
        <w:tab/>
      </w:r>
      <w:r w:rsidRPr="00C86C6F">
        <w:rPr>
          <w:rFonts w:ascii="Gilroy-Regular" w:hAnsi="Gilroy-Regular"/>
          <w:sz w:val="22"/>
          <w:szCs w:val="22"/>
        </w:rPr>
        <w:t>is being used to maximum instructional advantage.</w:t>
      </w:r>
    </w:p>
    <w:p w14:paraId="196DC684" w14:textId="77777777" w:rsidR="001A41C0" w:rsidRPr="00C86C6F" w:rsidRDefault="002D5271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lastRenderedPageBreak/>
        <w:t>Detailed content description (</w:t>
      </w:r>
      <w:proofErr w:type="gramStart"/>
      <w:r w:rsidRPr="00C86C6F">
        <w:rPr>
          <w:rFonts w:ascii="Gilroy-Regular" w:hAnsi="Gilroy-Regular"/>
          <w:sz w:val="22"/>
          <w:szCs w:val="22"/>
        </w:rPr>
        <w:t>i.e.</w:t>
      </w:r>
      <w:proofErr w:type="gramEnd"/>
      <w:r w:rsidRPr="00C86C6F">
        <w:rPr>
          <w:rFonts w:ascii="Gilroy-Regular" w:hAnsi="Gilroy-Regular"/>
          <w:sz w:val="22"/>
          <w:szCs w:val="22"/>
        </w:rPr>
        <w:t xml:space="preserve"> chapters, sections, </w:t>
      </w:r>
      <w:r w:rsidR="00E031B2" w:rsidRPr="00C86C6F">
        <w:rPr>
          <w:rFonts w:ascii="Gilroy-Regular" w:hAnsi="Gilroy-Regular"/>
          <w:sz w:val="22"/>
          <w:szCs w:val="22"/>
        </w:rPr>
        <w:t>etc.</w:t>
      </w:r>
      <w:r w:rsidRPr="00C86C6F">
        <w:rPr>
          <w:rFonts w:ascii="Gilroy-Regular" w:hAnsi="Gilroy-Regular"/>
          <w:sz w:val="22"/>
          <w:szCs w:val="22"/>
        </w:rPr>
        <w:t>).</w:t>
      </w:r>
    </w:p>
    <w:p w14:paraId="236580CF" w14:textId="77777777" w:rsidR="001A41C0" w:rsidRPr="00C86C6F" w:rsidRDefault="002D5271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Evaluation – number and weighting of each evaluation tool used.</w:t>
      </w:r>
    </w:p>
    <w:p w14:paraId="080B4A49" w14:textId="11A0542E" w:rsidR="001A41C0" w:rsidRPr="00C86C6F" w:rsidRDefault="002D5271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Grading Criteria </w:t>
      </w:r>
      <w:r w:rsidR="00002AAE" w:rsidRPr="00C86C6F">
        <w:rPr>
          <w:rFonts w:ascii="Gilroy-Regular" w:hAnsi="Gilroy-Regular"/>
          <w:sz w:val="22"/>
          <w:szCs w:val="22"/>
        </w:rPr>
        <w:t>–</w:t>
      </w:r>
      <w:r w:rsidRPr="00C86C6F">
        <w:rPr>
          <w:rFonts w:ascii="Gilroy-Regular" w:hAnsi="Gilroy-Regular"/>
          <w:sz w:val="22"/>
          <w:szCs w:val="22"/>
        </w:rPr>
        <w:t xml:space="preserve"> </w:t>
      </w:r>
      <w:r w:rsidR="00002AAE" w:rsidRPr="00C86C6F">
        <w:rPr>
          <w:rFonts w:ascii="Gilroy-Regular" w:hAnsi="Gilroy-Regular"/>
          <w:sz w:val="22"/>
          <w:szCs w:val="22"/>
        </w:rPr>
        <w:t xml:space="preserve">instructors must communicate to students at the beginning of each course the detailed manner by which academic performance will be evaluated and final grades derived. </w:t>
      </w:r>
    </w:p>
    <w:p w14:paraId="342D9821" w14:textId="50524F29" w:rsidR="001A41C0" w:rsidRPr="00C86C6F" w:rsidRDefault="002D5271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Stude</w:t>
      </w:r>
      <w:r w:rsidR="000553C9" w:rsidRPr="00C86C6F">
        <w:rPr>
          <w:rFonts w:ascii="Gilroy-Regular" w:hAnsi="Gilroy-Regular"/>
          <w:sz w:val="22"/>
          <w:szCs w:val="22"/>
        </w:rPr>
        <w:t xml:space="preserve">nt Rights and Responsibilities, with link to </w:t>
      </w:r>
      <w:r w:rsidR="00B14484" w:rsidRPr="00C86C6F">
        <w:rPr>
          <w:rFonts w:ascii="Gilroy-Regular" w:hAnsi="Gilroy-Regular"/>
          <w:sz w:val="22"/>
          <w:szCs w:val="22"/>
        </w:rPr>
        <w:t>the Polytechnic</w:t>
      </w:r>
      <w:r w:rsidR="000553C9" w:rsidRPr="00C86C6F">
        <w:rPr>
          <w:rFonts w:ascii="Gilroy-Regular" w:hAnsi="Gilroy-Regular"/>
          <w:sz w:val="22"/>
          <w:szCs w:val="22"/>
        </w:rPr>
        <w:t xml:space="preserve"> </w:t>
      </w:r>
      <w:r w:rsidR="00216C5E" w:rsidRPr="00C86C6F">
        <w:rPr>
          <w:rFonts w:ascii="Gilroy-Regular" w:hAnsi="Gilroy-Regular"/>
          <w:sz w:val="22"/>
          <w:szCs w:val="22"/>
        </w:rPr>
        <w:t>p</w:t>
      </w:r>
      <w:r w:rsidR="000553C9" w:rsidRPr="00C86C6F">
        <w:rPr>
          <w:rFonts w:ascii="Gilroy-Regular" w:hAnsi="Gilroy-Regular"/>
          <w:sz w:val="22"/>
          <w:szCs w:val="22"/>
        </w:rPr>
        <w:t>olicy.</w:t>
      </w:r>
    </w:p>
    <w:p w14:paraId="5431FA03" w14:textId="7BA7D9D4" w:rsidR="001A41C0" w:rsidRPr="00C86C6F" w:rsidRDefault="000553C9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Statement on </w:t>
      </w:r>
      <w:r w:rsidR="00775449" w:rsidRPr="00C86C6F">
        <w:rPr>
          <w:rFonts w:ascii="Gilroy-Regular" w:hAnsi="Gilroy-Regular"/>
          <w:sz w:val="22"/>
          <w:szCs w:val="22"/>
        </w:rPr>
        <w:t>Academic Misconduct</w:t>
      </w:r>
      <w:r w:rsidRPr="00C86C6F">
        <w:rPr>
          <w:rFonts w:ascii="Gilroy-Regular" w:hAnsi="Gilroy-Regular"/>
          <w:sz w:val="22"/>
          <w:szCs w:val="22"/>
        </w:rPr>
        <w:t xml:space="preserve">, </w:t>
      </w:r>
      <w:r w:rsidR="002D5271" w:rsidRPr="00C86C6F">
        <w:rPr>
          <w:rFonts w:ascii="Gilroy-Regular" w:hAnsi="Gilroy-Regular"/>
          <w:sz w:val="22"/>
          <w:szCs w:val="22"/>
        </w:rPr>
        <w:t xml:space="preserve">with link to </w:t>
      </w:r>
      <w:r w:rsidR="00216C5E" w:rsidRPr="00C86C6F">
        <w:rPr>
          <w:rFonts w:ascii="Gilroy-Regular" w:hAnsi="Gilroy-Regular"/>
          <w:sz w:val="22"/>
          <w:szCs w:val="22"/>
        </w:rPr>
        <w:t>the Student Rights and Responsibilities Policy</w:t>
      </w:r>
      <w:r w:rsidRPr="00C86C6F">
        <w:rPr>
          <w:rFonts w:ascii="Gilroy-Regular" w:hAnsi="Gilroy-Regular"/>
          <w:sz w:val="22"/>
          <w:szCs w:val="22"/>
        </w:rPr>
        <w:t>.</w:t>
      </w:r>
    </w:p>
    <w:p w14:paraId="6F10E2A6" w14:textId="77777777" w:rsidR="001A41C0" w:rsidRPr="00C86C6F" w:rsidRDefault="001E0D2C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If the course is designated a University Transfer Course,</w:t>
      </w:r>
      <w:r w:rsidR="002D5271" w:rsidRPr="00C86C6F">
        <w:rPr>
          <w:rFonts w:ascii="Gilroy-Regular" w:hAnsi="Gilroy-Regular"/>
          <w:sz w:val="22"/>
          <w:szCs w:val="22"/>
        </w:rPr>
        <w:t xml:space="preserve"> the outline will refer to the ACAT Transfer Guide for inform</w:t>
      </w:r>
      <w:r w:rsidRPr="00C86C6F">
        <w:rPr>
          <w:rFonts w:ascii="Gilroy-Regular" w:hAnsi="Gilroy-Regular"/>
          <w:sz w:val="22"/>
          <w:szCs w:val="22"/>
        </w:rPr>
        <w:t>ation regarding transferability</w:t>
      </w:r>
      <w:r w:rsidR="000553C9" w:rsidRPr="00C86C6F">
        <w:rPr>
          <w:rFonts w:ascii="Gilroy-Regular" w:hAnsi="Gilroy-Regular"/>
          <w:sz w:val="22"/>
          <w:szCs w:val="22"/>
        </w:rPr>
        <w:t>, with link to site</w:t>
      </w:r>
      <w:r w:rsidRPr="00C86C6F">
        <w:rPr>
          <w:rFonts w:ascii="Gilroy-Regular" w:hAnsi="Gilroy-Regular"/>
          <w:sz w:val="22"/>
          <w:szCs w:val="22"/>
        </w:rPr>
        <w:t xml:space="preserve">. </w:t>
      </w:r>
      <w:r w:rsidR="00EF091D" w:rsidRPr="00C86C6F">
        <w:rPr>
          <w:rFonts w:ascii="Gilroy-Regular" w:hAnsi="Gilroy-Regular"/>
          <w:sz w:val="22"/>
          <w:szCs w:val="22"/>
        </w:rPr>
        <w:t xml:space="preserve">The Course Outline will not include specific transfer information or a listing of institutions that have a transfer agreement. </w:t>
      </w:r>
    </w:p>
    <w:p w14:paraId="75D3E42D" w14:textId="77777777" w:rsidR="008F0933" w:rsidRPr="00C86C6F" w:rsidRDefault="00EF091D" w:rsidP="00C5636D">
      <w:pPr>
        <w:pStyle w:val="ListParagraph"/>
        <w:numPr>
          <w:ilvl w:val="2"/>
          <w:numId w:val="1"/>
        </w:numPr>
        <w:spacing w:before="120" w:line="240" w:lineRule="auto"/>
        <w:ind w:left="1890" w:hanging="869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All Course Outlines for University Transfer C</w:t>
      </w:r>
      <w:r w:rsidR="002D5271" w:rsidRPr="00C86C6F">
        <w:rPr>
          <w:rFonts w:ascii="Gilroy-Regular" w:hAnsi="Gilroy-Regular"/>
          <w:sz w:val="22"/>
          <w:szCs w:val="22"/>
        </w:rPr>
        <w:t>ourses must include the statement “Grade of D or D+ may not be acceptable for transfer to other post-secondary institutions”.</w:t>
      </w:r>
    </w:p>
    <w:p w14:paraId="08497D6A" w14:textId="77777777" w:rsidR="00C5636D" w:rsidRPr="00C86C6F" w:rsidRDefault="00C5636D" w:rsidP="00C5636D">
      <w:pPr>
        <w:pStyle w:val="ListParagraph"/>
        <w:spacing w:before="120" w:line="240" w:lineRule="auto"/>
        <w:ind w:left="1890"/>
        <w:contextualSpacing w:val="0"/>
        <w:jc w:val="both"/>
        <w:rPr>
          <w:rFonts w:ascii="Gilroy-Regular" w:hAnsi="Gilroy-Regular"/>
          <w:sz w:val="22"/>
          <w:szCs w:val="22"/>
        </w:rPr>
      </w:pPr>
    </w:p>
    <w:p w14:paraId="3952B3D9" w14:textId="77777777" w:rsidR="00C5636D" w:rsidRPr="00C86C6F" w:rsidRDefault="00C5636D" w:rsidP="00C5636D">
      <w:pPr>
        <w:pStyle w:val="ListParagraph"/>
        <w:spacing w:before="120" w:line="240" w:lineRule="auto"/>
        <w:ind w:left="1890"/>
        <w:contextualSpacing w:val="0"/>
        <w:jc w:val="both"/>
        <w:rPr>
          <w:rFonts w:ascii="Gilroy-Regular" w:hAnsi="Gilroy-Regular"/>
          <w:sz w:val="22"/>
          <w:szCs w:val="22"/>
        </w:rPr>
      </w:pPr>
    </w:p>
    <w:p w14:paraId="52E4F214" w14:textId="77777777" w:rsidR="00C5636D" w:rsidRPr="00C86C6F" w:rsidRDefault="00C5636D" w:rsidP="00C5636D">
      <w:pPr>
        <w:pStyle w:val="ListParagraph"/>
        <w:spacing w:before="120" w:line="240" w:lineRule="auto"/>
        <w:ind w:left="1890"/>
        <w:contextualSpacing w:val="0"/>
        <w:jc w:val="both"/>
        <w:rPr>
          <w:rFonts w:ascii="Gilroy-Regular" w:hAnsi="Gilroy-Regular"/>
          <w:sz w:val="22"/>
          <w:szCs w:val="22"/>
        </w:rPr>
      </w:pPr>
    </w:p>
    <w:p w14:paraId="76C1F9F7" w14:textId="77777777" w:rsidR="00C5636D" w:rsidRPr="00C86C6F" w:rsidRDefault="00C5636D" w:rsidP="00C5636D">
      <w:pPr>
        <w:pStyle w:val="ListParagraph"/>
        <w:spacing w:before="120" w:line="240" w:lineRule="auto"/>
        <w:ind w:left="1890"/>
        <w:contextualSpacing w:val="0"/>
        <w:jc w:val="both"/>
        <w:rPr>
          <w:rFonts w:ascii="Gilroy-Regular" w:hAnsi="Gilroy-Regular"/>
          <w:sz w:val="22"/>
          <w:szCs w:val="22"/>
        </w:rPr>
      </w:pPr>
    </w:p>
    <w:p w14:paraId="22BE5CD9" w14:textId="77777777" w:rsidR="00C5636D" w:rsidRPr="00C86C6F" w:rsidRDefault="00C5636D" w:rsidP="00C5636D">
      <w:pPr>
        <w:pStyle w:val="ListParagraph"/>
        <w:spacing w:before="120" w:line="240" w:lineRule="auto"/>
        <w:ind w:left="1890"/>
        <w:contextualSpacing w:val="0"/>
        <w:jc w:val="both"/>
        <w:rPr>
          <w:rFonts w:ascii="Gilroy-Regular" w:hAnsi="Gilroy-Regular"/>
          <w:sz w:val="22"/>
          <w:szCs w:val="22"/>
        </w:rPr>
      </w:pPr>
    </w:p>
    <w:p w14:paraId="5CE58583" w14:textId="77777777" w:rsidR="00A03D93" w:rsidRDefault="00A03D93" w:rsidP="00C5636D">
      <w:pPr>
        <w:pStyle w:val="ListParagraph"/>
        <w:numPr>
          <w:ilvl w:val="0"/>
          <w:numId w:val="1"/>
        </w:numPr>
        <w:spacing w:before="120" w:line="240" w:lineRule="auto"/>
        <w:contextualSpacing w:val="0"/>
        <w:jc w:val="both"/>
        <w:rPr>
          <w:rFonts w:ascii="Gilroy-Regular" w:hAnsi="Gilroy-Regular"/>
          <w:b/>
          <w:sz w:val="22"/>
          <w:szCs w:val="22"/>
        </w:rPr>
      </w:pPr>
      <w:r w:rsidRPr="00C86C6F">
        <w:rPr>
          <w:rFonts w:ascii="Gilroy-Regular" w:hAnsi="Gilroy-Regular"/>
          <w:b/>
          <w:sz w:val="22"/>
          <w:szCs w:val="22"/>
        </w:rPr>
        <w:t>Roles and Responsibilities</w:t>
      </w:r>
    </w:p>
    <w:p w14:paraId="50ACFE0F" w14:textId="40EDD12C" w:rsidR="00C86C6F" w:rsidRPr="00C86C6F" w:rsidRDefault="00C86C6F" w:rsidP="00C86C6F">
      <w:pPr>
        <w:pStyle w:val="ListParagraph"/>
        <w:spacing w:before="0" w:after="0" w:line="240" w:lineRule="auto"/>
        <w:ind w:left="454"/>
        <w:contextualSpacing w:val="0"/>
        <w:jc w:val="both"/>
        <w:rPr>
          <w:rFonts w:ascii="Gilroy-Regular" w:hAnsi="Gilroy-Regular"/>
          <w:b/>
          <w:sz w:val="22"/>
          <w:szCs w:val="22"/>
        </w:rPr>
      </w:pPr>
    </w:p>
    <w:tbl>
      <w:tblPr>
        <w:tblStyle w:val="TableGrid"/>
        <w:tblW w:w="9014" w:type="dxa"/>
        <w:tblInd w:w="562" w:type="dxa"/>
        <w:tblLook w:val="04A0" w:firstRow="1" w:lastRow="0" w:firstColumn="1" w:lastColumn="0" w:noHBand="0" w:noVBand="1"/>
      </w:tblPr>
      <w:tblGrid>
        <w:gridCol w:w="2694"/>
        <w:gridCol w:w="6320"/>
      </w:tblGrid>
      <w:tr w:rsidR="008F0933" w:rsidRPr="00C86C6F" w14:paraId="17C626F7" w14:textId="77777777" w:rsidTr="00C86C6F">
        <w:trPr>
          <w:trHeight w:val="353"/>
        </w:trPr>
        <w:tc>
          <w:tcPr>
            <w:tcW w:w="2694" w:type="dxa"/>
            <w:shd w:val="clear" w:color="auto" w:fill="000000" w:themeFill="text1"/>
          </w:tcPr>
          <w:p w14:paraId="6C3FD378" w14:textId="77777777" w:rsidR="008F0933" w:rsidRPr="00C86C6F" w:rsidRDefault="008F0933" w:rsidP="00C5636D">
            <w:pPr>
              <w:spacing w:line="240" w:lineRule="auto"/>
              <w:rPr>
                <w:rFonts w:ascii="Gilroy-Regular" w:hAnsi="Gilroy-Regular"/>
                <w:b/>
                <w:color w:val="FFFFFF" w:themeColor="background1"/>
                <w:sz w:val="22"/>
                <w:szCs w:val="22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 w:val="22"/>
                <w:szCs w:val="22"/>
              </w:rPr>
              <w:t>Stakeholder</w:t>
            </w:r>
          </w:p>
        </w:tc>
        <w:tc>
          <w:tcPr>
            <w:tcW w:w="6320" w:type="dxa"/>
            <w:shd w:val="clear" w:color="auto" w:fill="000000" w:themeFill="text1"/>
          </w:tcPr>
          <w:p w14:paraId="67A09D79" w14:textId="77777777" w:rsidR="008F0933" w:rsidRPr="00C86C6F" w:rsidRDefault="008F0933" w:rsidP="00C5636D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Gilroy-Regular" w:hAnsi="Gilroy-Regular"/>
                <w:b/>
                <w:color w:val="FFFFFF" w:themeColor="background1"/>
                <w:sz w:val="22"/>
                <w:szCs w:val="22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 w:val="22"/>
                <w:szCs w:val="22"/>
              </w:rPr>
              <w:t>Responsibilities</w:t>
            </w:r>
          </w:p>
        </w:tc>
      </w:tr>
      <w:tr w:rsidR="00B9715E" w:rsidRPr="00C86C6F" w14:paraId="55450EE0" w14:textId="77777777" w:rsidTr="00C86C6F">
        <w:trPr>
          <w:trHeight w:val="387"/>
        </w:trPr>
        <w:tc>
          <w:tcPr>
            <w:tcW w:w="2694" w:type="dxa"/>
          </w:tcPr>
          <w:p w14:paraId="162FF154" w14:textId="23103B47" w:rsidR="00B9715E" w:rsidRPr="00C86C6F" w:rsidRDefault="00B9715E" w:rsidP="00C86C6F">
            <w:p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Board of Governors</w:t>
            </w:r>
          </w:p>
        </w:tc>
        <w:tc>
          <w:tcPr>
            <w:tcW w:w="6320" w:type="dxa"/>
          </w:tcPr>
          <w:p w14:paraId="4849E0E2" w14:textId="19877B63" w:rsidR="00B9715E" w:rsidRPr="00C86C6F" w:rsidRDefault="00B9715E" w:rsidP="00C86C6F">
            <w:pPr>
              <w:numPr>
                <w:ilvl w:val="0"/>
                <w:numId w:val="3"/>
              </w:num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 xml:space="preserve">Approve and formally support this policy. </w:t>
            </w:r>
          </w:p>
        </w:tc>
      </w:tr>
      <w:tr w:rsidR="008F0933" w:rsidRPr="00C86C6F" w14:paraId="64DD900B" w14:textId="77777777" w:rsidTr="00C86C6F">
        <w:trPr>
          <w:trHeight w:val="387"/>
        </w:trPr>
        <w:tc>
          <w:tcPr>
            <w:tcW w:w="2694" w:type="dxa"/>
          </w:tcPr>
          <w:p w14:paraId="27D19CCF" w14:textId="77777777" w:rsidR="008F0933" w:rsidRPr="00C86C6F" w:rsidRDefault="008F0933" w:rsidP="00C86C6F">
            <w:p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Academic Council</w:t>
            </w:r>
          </w:p>
        </w:tc>
        <w:tc>
          <w:tcPr>
            <w:tcW w:w="6320" w:type="dxa"/>
          </w:tcPr>
          <w:p w14:paraId="2F798B30" w14:textId="24B4DB9C" w:rsidR="008F0933" w:rsidRPr="00C86C6F" w:rsidRDefault="00B9715E" w:rsidP="00C86C6F">
            <w:pPr>
              <w:numPr>
                <w:ilvl w:val="0"/>
                <w:numId w:val="3"/>
              </w:num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Review</w:t>
            </w:r>
            <w:r w:rsidR="008F0933" w:rsidRPr="00C86C6F">
              <w:rPr>
                <w:rFonts w:ascii="Gilroy-Regular" w:hAnsi="Gilroy-Regular"/>
                <w:sz w:val="22"/>
                <w:szCs w:val="22"/>
              </w:rPr>
              <w:t xml:space="preserve"> and formally support this policy.</w:t>
            </w:r>
          </w:p>
        </w:tc>
      </w:tr>
      <w:tr w:rsidR="008F0933" w:rsidRPr="00C86C6F" w14:paraId="2D01869A" w14:textId="77777777" w:rsidTr="00C86C6F">
        <w:trPr>
          <w:trHeight w:val="558"/>
        </w:trPr>
        <w:tc>
          <w:tcPr>
            <w:tcW w:w="2694" w:type="dxa"/>
          </w:tcPr>
          <w:p w14:paraId="22EBED82" w14:textId="494F033A" w:rsidR="008F0933" w:rsidRPr="00C86C6F" w:rsidRDefault="00216C5E" w:rsidP="00C86C6F">
            <w:p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 xml:space="preserve">Provost </w:t>
            </w:r>
            <w:r w:rsidR="00C86C6F">
              <w:rPr>
                <w:rFonts w:ascii="Gilroy-Regular" w:hAnsi="Gilroy-Regular"/>
                <w:sz w:val="22"/>
                <w:szCs w:val="22"/>
              </w:rPr>
              <w:t>and</w:t>
            </w:r>
            <w:r w:rsidRPr="00C86C6F">
              <w:rPr>
                <w:rFonts w:ascii="Gilroy-Regular" w:hAnsi="Gilroy-Regular"/>
                <w:sz w:val="22"/>
                <w:szCs w:val="22"/>
              </w:rPr>
              <w:t xml:space="preserve"> </w:t>
            </w:r>
            <w:r w:rsidR="008F0933" w:rsidRPr="00C86C6F">
              <w:rPr>
                <w:rFonts w:ascii="Gilroy-Regular" w:hAnsi="Gilroy-Regular"/>
                <w:sz w:val="22"/>
                <w:szCs w:val="22"/>
              </w:rPr>
              <w:t>Vice-President</w:t>
            </w:r>
            <w:r w:rsidR="00C86C6F">
              <w:rPr>
                <w:rFonts w:ascii="Gilroy-Regular" w:hAnsi="Gilroy-Regular"/>
                <w:sz w:val="22"/>
                <w:szCs w:val="22"/>
              </w:rPr>
              <w:t xml:space="preserve"> </w:t>
            </w:r>
            <w:r w:rsidR="001B46F2" w:rsidRPr="00C86C6F">
              <w:rPr>
                <w:rFonts w:ascii="Gilroy-Regular" w:hAnsi="Gilroy-Regular"/>
                <w:sz w:val="22"/>
                <w:szCs w:val="22"/>
              </w:rPr>
              <w:t>Academic</w:t>
            </w:r>
          </w:p>
        </w:tc>
        <w:tc>
          <w:tcPr>
            <w:tcW w:w="6320" w:type="dxa"/>
          </w:tcPr>
          <w:p w14:paraId="50036333" w14:textId="77777777" w:rsidR="008F0933" w:rsidRPr="00C86C6F" w:rsidRDefault="008F0933" w:rsidP="00C86C6F">
            <w:pPr>
              <w:numPr>
                <w:ilvl w:val="0"/>
                <w:numId w:val="3"/>
              </w:num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Review and formally support this policy.</w:t>
            </w:r>
          </w:p>
        </w:tc>
      </w:tr>
      <w:tr w:rsidR="008F0933" w:rsidRPr="00C86C6F" w14:paraId="75F00512" w14:textId="77777777" w:rsidTr="00C86C6F">
        <w:trPr>
          <w:trHeight w:val="558"/>
        </w:trPr>
        <w:tc>
          <w:tcPr>
            <w:tcW w:w="2694" w:type="dxa"/>
          </w:tcPr>
          <w:p w14:paraId="2E958B14" w14:textId="77777777" w:rsidR="008F0933" w:rsidRPr="00C86C6F" w:rsidRDefault="008F0933" w:rsidP="00C86C6F">
            <w:p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Curriculum Committee</w:t>
            </w:r>
          </w:p>
        </w:tc>
        <w:tc>
          <w:tcPr>
            <w:tcW w:w="6320" w:type="dxa"/>
          </w:tcPr>
          <w:p w14:paraId="3A053C88" w14:textId="11D437F3" w:rsidR="008F0933" w:rsidRPr="00C86C6F" w:rsidRDefault="008F0933" w:rsidP="00C86C6F">
            <w:pPr>
              <w:numPr>
                <w:ilvl w:val="0"/>
                <w:numId w:val="3"/>
              </w:num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Recommendation to Academic Council for approval</w:t>
            </w:r>
            <w:r w:rsidR="00BD210E" w:rsidRPr="00C86C6F">
              <w:rPr>
                <w:rFonts w:ascii="Gilroy-Regular" w:hAnsi="Gilroy-Regular"/>
                <w:sz w:val="22"/>
                <w:szCs w:val="22"/>
              </w:rPr>
              <w:t xml:space="preserve"> of</w:t>
            </w:r>
            <w:r w:rsidRPr="00C86C6F">
              <w:rPr>
                <w:rFonts w:ascii="Gilroy-Regular" w:hAnsi="Gilroy-Regular"/>
                <w:sz w:val="22"/>
                <w:szCs w:val="22"/>
              </w:rPr>
              <w:t xml:space="preserve"> </w:t>
            </w:r>
            <w:r w:rsidR="00BD210E" w:rsidRPr="00C86C6F">
              <w:rPr>
                <w:rFonts w:ascii="Gilroy-Regular" w:hAnsi="Gilroy-Regular"/>
                <w:sz w:val="22"/>
                <w:szCs w:val="22"/>
              </w:rPr>
              <w:t>new or modified</w:t>
            </w:r>
            <w:r w:rsidRPr="00C86C6F">
              <w:rPr>
                <w:rFonts w:ascii="Gilroy-Regular" w:hAnsi="Gilroy-Regular"/>
                <w:sz w:val="22"/>
                <w:szCs w:val="22"/>
              </w:rPr>
              <w:t xml:space="preserve"> Course Outlines. </w:t>
            </w:r>
          </w:p>
        </w:tc>
      </w:tr>
      <w:tr w:rsidR="004114B9" w:rsidRPr="00C86C6F" w14:paraId="36D161D2" w14:textId="77777777" w:rsidTr="00C86C6F">
        <w:trPr>
          <w:trHeight w:val="558"/>
        </w:trPr>
        <w:tc>
          <w:tcPr>
            <w:tcW w:w="2694" w:type="dxa"/>
          </w:tcPr>
          <w:p w14:paraId="13FF7150" w14:textId="77777777" w:rsidR="004114B9" w:rsidRPr="00C86C6F" w:rsidRDefault="004114B9" w:rsidP="00C86C6F">
            <w:p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Deans</w:t>
            </w:r>
          </w:p>
        </w:tc>
        <w:tc>
          <w:tcPr>
            <w:tcW w:w="6320" w:type="dxa"/>
          </w:tcPr>
          <w:p w14:paraId="49AAC196" w14:textId="15732485" w:rsidR="004114B9" w:rsidRPr="00C86C6F" w:rsidRDefault="004114B9" w:rsidP="00C86C6F">
            <w:pPr>
              <w:numPr>
                <w:ilvl w:val="0"/>
                <w:numId w:val="3"/>
              </w:num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Review Course Outlines.</w:t>
            </w:r>
          </w:p>
        </w:tc>
      </w:tr>
      <w:tr w:rsidR="008F0933" w:rsidRPr="00C86C6F" w14:paraId="16FCE2B7" w14:textId="77777777" w:rsidTr="00C86C6F">
        <w:trPr>
          <w:trHeight w:val="558"/>
        </w:trPr>
        <w:tc>
          <w:tcPr>
            <w:tcW w:w="2694" w:type="dxa"/>
          </w:tcPr>
          <w:p w14:paraId="19A29653" w14:textId="7D4CC17A" w:rsidR="008F0933" w:rsidRPr="00C86C6F" w:rsidRDefault="00216C5E" w:rsidP="00C86C6F">
            <w:p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Registrar’s Office</w:t>
            </w:r>
          </w:p>
        </w:tc>
        <w:tc>
          <w:tcPr>
            <w:tcW w:w="6320" w:type="dxa"/>
          </w:tcPr>
          <w:p w14:paraId="0D6DAA40" w14:textId="77777777" w:rsidR="008F0933" w:rsidRPr="00C86C6F" w:rsidRDefault="008F0933" w:rsidP="00C86C6F">
            <w:pPr>
              <w:numPr>
                <w:ilvl w:val="0"/>
                <w:numId w:val="3"/>
              </w:num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Receive, review, publish and store Course Outlines.</w:t>
            </w:r>
          </w:p>
          <w:p w14:paraId="4329004A" w14:textId="77777777" w:rsidR="008F0933" w:rsidRPr="00C86C6F" w:rsidRDefault="008F0933" w:rsidP="00C86C6F">
            <w:pPr>
              <w:numPr>
                <w:ilvl w:val="0"/>
                <w:numId w:val="3"/>
              </w:num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 xml:space="preserve">Provide Course Outline template. </w:t>
            </w:r>
          </w:p>
        </w:tc>
      </w:tr>
      <w:tr w:rsidR="008F0933" w:rsidRPr="00C86C6F" w14:paraId="10EAE173" w14:textId="77777777" w:rsidTr="00C86C6F">
        <w:trPr>
          <w:trHeight w:val="558"/>
        </w:trPr>
        <w:tc>
          <w:tcPr>
            <w:tcW w:w="2694" w:type="dxa"/>
          </w:tcPr>
          <w:p w14:paraId="7E92330F" w14:textId="77777777" w:rsidR="008F0933" w:rsidRPr="00C86C6F" w:rsidRDefault="008F0933" w:rsidP="00C86C6F">
            <w:p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 xml:space="preserve">Department Chair </w:t>
            </w:r>
          </w:p>
        </w:tc>
        <w:tc>
          <w:tcPr>
            <w:tcW w:w="6320" w:type="dxa"/>
          </w:tcPr>
          <w:p w14:paraId="49BDC993" w14:textId="04A76A3F" w:rsidR="008F0933" w:rsidRPr="00C86C6F" w:rsidRDefault="008F0933" w:rsidP="00C86C6F">
            <w:pPr>
              <w:numPr>
                <w:ilvl w:val="0"/>
                <w:numId w:val="3"/>
              </w:num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 xml:space="preserve">Review Course Outlines for submission. </w:t>
            </w:r>
          </w:p>
        </w:tc>
      </w:tr>
      <w:tr w:rsidR="008F0933" w:rsidRPr="00C86C6F" w14:paraId="014761B4" w14:textId="77777777" w:rsidTr="00C86C6F">
        <w:trPr>
          <w:trHeight w:val="558"/>
        </w:trPr>
        <w:tc>
          <w:tcPr>
            <w:tcW w:w="2694" w:type="dxa"/>
          </w:tcPr>
          <w:p w14:paraId="1DD7B279" w14:textId="77777777" w:rsidR="008F0933" w:rsidRPr="00C86C6F" w:rsidRDefault="008F0933" w:rsidP="00C86C6F">
            <w:p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 xml:space="preserve">Faculty </w:t>
            </w:r>
          </w:p>
        </w:tc>
        <w:tc>
          <w:tcPr>
            <w:tcW w:w="6320" w:type="dxa"/>
          </w:tcPr>
          <w:p w14:paraId="76E6A08C" w14:textId="25A3AF5B" w:rsidR="008F0933" w:rsidRPr="00C86C6F" w:rsidRDefault="008F0933" w:rsidP="00C86C6F">
            <w:pPr>
              <w:numPr>
                <w:ilvl w:val="0"/>
                <w:numId w:val="3"/>
              </w:num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>Create Course Outlines in adherence to</w:t>
            </w:r>
            <w:r w:rsidR="00D531CE" w:rsidRPr="00C86C6F">
              <w:rPr>
                <w:rFonts w:ascii="Gilroy-Regular" w:hAnsi="Gilroy-Regular"/>
                <w:sz w:val="22"/>
                <w:szCs w:val="22"/>
              </w:rPr>
              <w:t xml:space="preserve"> NWP</w:t>
            </w:r>
            <w:r w:rsidRPr="00C86C6F">
              <w:rPr>
                <w:rFonts w:ascii="Gilroy-Regular" w:hAnsi="Gilroy-Regular"/>
                <w:sz w:val="22"/>
                <w:szCs w:val="22"/>
              </w:rPr>
              <w:t xml:space="preserve"> Policy.</w:t>
            </w:r>
          </w:p>
          <w:p w14:paraId="08AA1DD6" w14:textId="59F79D6C" w:rsidR="008F0933" w:rsidRPr="00C86C6F" w:rsidRDefault="008F0933" w:rsidP="00C86C6F">
            <w:pPr>
              <w:numPr>
                <w:ilvl w:val="0"/>
                <w:numId w:val="3"/>
              </w:numPr>
              <w:spacing w:line="240" w:lineRule="auto"/>
              <w:rPr>
                <w:rFonts w:ascii="Gilroy-Regular" w:hAnsi="Gilroy-Regular"/>
                <w:sz w:val="22"/>
                <w:szCs w:val="22"/>
              </w:rPr>
            </w:pPr>
            <w:r w:rsidRPr="00C86C6F">
              <w:rPr>
                <w:rFonts w:ascii="Gilroy-Regular" w:hAnsi="Gilroy-Regular"/>
                <w:sz w:val="22"/>
                <w:szCs w:val="22"/>
              </w:rPr>
              <w:t xml:space="preserve">Deliver </w:t>
            </w:r>
            <w:r w:rsidR="003758BF" w:rsidRPr="00C86C6F">
              <w:rPr>
                <w:rFonts w:ascii="Gilroy-Regular" w:hAnsi="Gilroy-Regular"/>
                <w:sz w:val="22"/>
                <w:szCs w:val="22"/>
              </w:rPr>
              <w:t>c</w:t>
            </w:r>
            <w:r w:rsidRPr="00C86C6F">
              <w:rPr>
                <w:rFonts w:ascii="Gilroy-Regular" w:hAnsi="Gilroy-Regular"/>
                <w:sz w:val="22"/>
                <w:szCs w:val="22"/>
              </w:rPr>
              <w:t xml:space="preserve">ourses in alignment with the Course Outline. </w:t>
            </w:r>
          </w:p>
        </w:tc>
      </w:tr>
    </w:tbl>
    <w:p w14:paraId="6EDBDA6A" w14:textId="77777777" w:rsidR="00132361" w:rsidRPr="00C86C6F" w:rsidRDefault="00132361" w:rsidP="00C5636D">
      <w:pPr>
        <w:spacing w:before="0" w:after="0" w:line="240" w:lineRule="auto"/>
        <w:jc w:val="both"/>
        <w:rPr>
          <w:rFonts w:ascii="Gilroy-Regular" w:hAnsi="Gilroy-Regular"/>
          <w:b/>
          <w:sz w:val="22"/>
          <w:szCs w:val="22"/>
        </w:rPr>
      </w:pPr>
    </w:p>
    <w:p w14:paraId="035702EB" w14:textId="77777777" w:rsidR="00F80D76" w:rsidRPr="00C86C6F" w:rsidRDefault="00A03D93" w:rsidP="00C5636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Gilroy-Regular" w:hAnsi="Gilroy-Regular"/>
          <w:b/>
          <w:sz w:val="22"/>
          <w:szCs w:val="22"/>
        </w:rPr>
      </w:pPr>
      <w:r w:rsidRPr="00C86C6F">
        <w:rPr>
          <w:rFonts w:ascii="Gilroy-Regular" w:hAnsi="Gilroy-Regular"/>
          <w:b/>
          <w:sz w:val="22"/>
          <w:szCs w:val="22"/>
        </w:rPr>
        <w:t>Exceptions to the Policy</w:t>
      </w:r>
    </w:p>
    <w:p w14:paraId="3C17AA8B" w14:textId="568977C6" w:rsidR="00A274C0" w:rsidRPr="00C86C6F" w:rsidRDefault="00C505CD" w:rsidP="00C5636D">
      <w:pPr>
        <w:pStyle w:val="ITNumbered123"/>
        <w:numPr>
          <w:ilvl w:val="1"/>
          <w:numId w:val="1"/>
        </w:numPr>
        <w:spacing w:before="120" w:line="240" w:lineRule="auto"/>
        <w:rPr>
          <w:rFonts w:ascii="Gilroy-Regular" w:hAnsi="Gilroy-Regular"/>
          <w:b w:val="0"/>
          <w:sz w:val="22"/>
          <w:szCs w:val="22"/>
        </w:rPr>
      </w:pPr>
      <w:r w:rsidRPr="00C86C6F">
        <w:rPr>
          <w:rFonts w:ascii="Gilroy-Regular" w:hAnsi="Gilroy-Regular"/>
          <w:b w:val="0"/>
          <w:sz w:val="22"/>
          <w:szCs w:val="22"/>
        </w:rPr>
        <w:t>If</w:t>
      </w:r>
      <w:r w:rsidR="00A274C0" w:rsidRPr="00C86C6F">
        <w:rPr>
          <w:rFonts w:ascii="Gilroy-Regular" w:hAnsi="Gilroy-Regular"/>
          <w:b w:val="0"/>
          <w:sz w:val="22"/>
          <w:szCs w:val="22"/>
        </w:rPr>
        <w:t xml:space="preserve"> a Course Outline requires changes to </w:t>
      </w:r>
      <w:r w:rsidR="001F2D02" w:rsidRPr="00C86C6F">
        <w:rPr>
          <w:rFonts w:ascii="Gilroy-Regular" w:hAnsi="Gilroy-Regular"/>
          <w:b w:val="0"/>
          <w:sz w:val="22"/>
          <w:szCs w:val="22"/>
        </w:rPr>
        <w:t>learning assessments, weighting of assessments, final grade allocation, and scheduling of classes</w:t>
      </w:r>
      <w:r w:rsidRPr="00C86C6F">
        <w:rPr>
          <w:rFonts w:ascii="Gilroy-Regular" w:hAnsi="Gilroy-Regular"/>
          <w:b w:val="0"/>
          <w:sz w:val="22"/>
          <w:szCs w:val="22"/>
        </w:rPr>
        <w:t xml:space="preserve"> during a semester in which the course is being delivered</w:t>
      </w:r>
      <w:r w:rsidR="00A274C0" w:rsidRPr="00C86C6F">
        <w:rPr>
          <w:rFonts w:ascii="Gilroy-Regular" w:hAnsi="Gilroy-Regular"/>
          <w:b w:val="0"/>
          <w:sz w:val="22"/>
          <w:szCs w:val="22"/>
        </w:rPr>
        <w:t xml:space="preserve"> and providing the changes do not bring the Course Outline in conflict with another </w:t>
      </w:r>
      <w:r w:rsidR="0023433F" w:rsidRPr="00C86C6F">
        <w:rPr>
          <w:rFonts w:ascii="Gilroy-Regular" w:hAnsi="Gilroy-Regular"/>
          <w:b w:val="0"/>
          <w:sz w:val="22"/>
          <w:szCs w:val="22"/>
        </w:rPr>
        <w:t>NWP</w:t>
      </w:r>
      <w:r w:rsidR="00A274C0" w:rsidRPr="00C86C6F">
        <w:rPr>
          <w:rFonts w:ascii="Gilroy-Regular" w:hAnsi="Gilroy-Regular"/>
          <w:b w:val="0"/>
          <w:sz w:val="22"/>
          <w:szCs w:val="22"/>
        </w:rPr>
        <w:t xml:space="preserve"> policy, </w:t>
      </w:r>
      <w:r w:rsidR="00711C5B" w:rsidRPr="00C86C6F">
        <w:rPr>
          <w:rFonts w:ascii="Gilroy-Regular" w:hAnsi="Gilroy-Regular"/>
          <w:b w:val="0"/>
          <w:sz w:val="22"/>
          <w:szCs w:val="22"/>
        </w:rPr>
        <w:t>the instructor must seek approval from the Dean</w:t>
      </w:r>
      <w:r w:rsidR="00E715D5" w:rsidRPr="00C86C6F">
        <w:rPr>
          <w:rFonts w:ascii="Gilroy-Regular" w:hAnsi="Gilroy-Regular"/>
          <w:b w:val="0"/>
          <w:sz w:val="22"/>
          <w:szCs w:val="22"/>
        </w:rPr>
        <w:t xml:space="preserve"> and the instructor is required to demonstrate 100% student written consent for the proposed change to take effect. </w:t>
      </w:r>
    </w:p>
    <w:p w14:paraId="72F660AC" w14:textId="301D2DB0" w:rsidR="008F0933" w:rsidRPr="00C86C6F" w:rsidRDefault="008F0933" w:rsidP="00C5636D">
      <w:pPr>
        <w:pStyle w:val="ITNumbered123"/>
        <w:numPr>
          <w:ilvl w:val="1"/>
          <w:numId w:val="1"/>
        </w:numPr>
        <w:spacing w:before="120" w:after="0" w:line="240" w:lineRule="auto"/>
        <w:rPr>
          <w:rFonts w:ascii="Gilroy-Regular" w:hAnsi="Gilroy-Regular"/>
          <w:b w:val="0"/>
          <w:sz w:val="22"/>
          <w:szCs w:val="22"/>
        </w:rPr>
      </w:pPr>
      <w:r w:rsidRPr="00C86C6F">
        <w:rPr>
          <w:rFonts w:ascii="Gilroy-Regular" w:hAnsi="Gilroy-Regular"/>
          <w:b w:val="0"/>
          <w:sz w:val="22"/>
          <w:szCs w:val="22"/>
        </w:rPr>
        <w:t>A</w:t>
      </w:r>
      <w:r w:rsidR="00A274C0" w:rsidRPr="00C86C6F">
        <w:rPr>
          <w:rFonts w:ascii="Gilroy-Regular" w:hAnsi="Gilroy-Regular"/>
          <w:b w:val="0"/>
          <w:sz w:val="22"/>
          <w:szCs w:val="22"/>
        </w:rPr>
        <w:t>ll other</w:t>
      </w:r>
      <w:r w:rsidRPr="00C86C6F">
        <w:rPr>
          <w:rFonts w:ascii="Gilroy-Regular" w:hAnsi="Gilroy-Regular"/>
          <w:b w:val="0"/>
          <w:sz w:val="22"/>
          <w:szCs w:val="22"/>
        </w:rPr>
        <w:t xml:space="preserve"> exceptions to this policy will be at the discretion </w:t>
      </w:r>
      <w:r w:rsidR="001B46F2" w:rsidRPr="00C86C6F">
        <w:rPr>
          <w:rFonts w:ascii="Gilroy-Regular" w:hAnsi="Gilroy-Regular"/>
          <w:b w:val="0"/>
          <w:sz w:val="22"/>
          <w:szCs w:val="22"/>
        </w:rPr>
        <w:t xml:space="preserve">of the </w:t>
      </w:r>
      <w:r w:rsidR="00216C5E" w:rsidRPr="00C86C6F">
        <w:rPr>
          <w:rFonts w:ascii="Gilroy-Regular" w:hAnsi="Gilroy-Regular"/>
          <w:b w:val="0"/>
          <w:sz w:val="22"/>
          <w:szCs w:val="22"/>
        </w:rPr>
        <w:t xml:space="preserve">Provost </w:t>
      </w:r>
      <w:r w:rsidR="00C5636D" w:rsidRPr="00C86C6F">
        <w:rPr>
          <w:rFonts w:ascii="Gilroy-Regular" w:hAnsi="Gilroy-Regular"/>
          <w:b w:val="0"/>
          <w:sz w:val="22"/>
          <w:szCs w:val="22"/>
        </w:rPr>
        <w:t>and</w:t>
      </w:r>
      <w:r w:rsidR="00216C5E" w:rsidRPr="00C86C6F">
        <w:rPr>
          <w:rFonts w:ascii="Gilroy-Regular" w:hAnsi="Gilroy-Regular"/>
          <w:b w:val="0"/>
          <w:sz w:val="22"/>
          <w:szCs w:val="22"/>
        </w:rPr>
        <w:t xml:space="preserve"> </w:t>
      </w:r>
      <w:r w:rsidR="001B46F2" w:rsidRPr="00C86C6F">
        <w:rPr>
          <w:rFonts w:ascii="Gilroy-Regular" w:hAnsi="Gilroy-Regular"/>
          <w:b w:val="0"/>
          <w:sz w:val="22"/>
          <w:szCs w:val="22"/>
        </w:rPr>
        <w:t>Vice</w:t>
      </w:r>
      <w:r w:rsidR="00C5636D" w:rsidRPr="00C86C6F">
        <w:rPr>
          <w:rFonts w:ascii="Gilroy-Regular" w:hAnsi="Gilroy-Regular"/>
          <w:b w:val="0"/>
          <w:sz w:val="22"/>
          <w:szCs w:val="22"/>
        </w:rPr>
        <w:t>-</w:t>
      </w:r>
      <w:r w:rsidR="001B46F2" w:rsidRPr="00C86C6F">
        <w:rPr>
          <w:rFonts w:ascii="Gilroy-Regular" w:hAnsi="Gilroy-Regular"/>
          <w:b w:val="0"/>
          <w:sz w:val="22"/>
          <w:szCs w:val="22"/>
        </w:rPr>
        <w:t xml:space="preserve"> President</w:t>
      </w:r>
      <w:r w:rsidR="00C5636D" w:rsidRPr="00C86C6F">
        <w:rPr>
          <w:rFonts w:ascii="Gilroy-Regular" w:hAnsi="Gilroy-Regular"/>
          <w:b w:val="0"/>
          <w:sz w:val="22"/>
          <w:szCs w:val="22"/>
        </w:rPr>
        <w:t xml:space="preserve"> </w:t>
      </w:r>
      <w:r w:rsidR="001B46F2" w:rsidRPr="00C86C6F">
        <w:rPr>
          <w:rFonts w:ascii="Gilroy-Regular" w:hAnsi="Gilroy-Regular"/>
          <w:b w:val="0"/>
          <w:sz w:val="22"/>
          <w:szCs w:val="22"/>
        </w:rPr>
        <w:t>Academic</w:t>
      </w:r>
      <w:r w:rsidRPr="00C86C6F">
        <w:rPr>
          <w:rFonts w:ascii="Gilroy-Regular" w:hAnsi="Gilroy-Regular"/>
          <w:b w:val="0"/>
          <w:sz w:val="22"/>
          <w:szCs w:val="22"/>
        </w:rPr>
        <w:t xml:space="preserve">. </w:t>
      </w:r>
    </w:p>
    <w:p w14:paraId="0C9479EA" w14:textId="77777777" w:rsidR="00C5636D" w:rsidRPr="00C86C6F" w:rsidRDefault="00C5636D" w:rsidP="00C5636D">
      <w:pPr>
        <w:pStyle w:val="ITNumbered123"/>
        <w:spacing w:before="0" w:after="0" w:line="240" w:lineRule="auto"/>
        <w:ind w:left="1021"/>
        <w:rPr>
          <w:rFonts w:ascii="Gilroy-Regular" w:hAnsi="Gilroy-Regular"/>
          <w:b w:val="0"/>
          <w:sz w:val="22"/>
          <w:szCs w:val="22"/>
        </w:rPr>
      </w:pPr>
    </w:p>
    <w:p w14:paraId="70E79FF1" w14:textId="77777777" w:rsidR="008F0933" w:rsidRPr="00C86C6F" w:rsidRDefault="008F0933" w:rsidP="00C5636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Gilroy-Regular" w:hAnsi="Gilroy-Regular"/>
          <w:b/>
          <w:sz w:val="22"/>
          <w:szCs w:val="22"/>
        </w:rPr>
      </w:pPr>
      <w:r w:rsidRPr="00C86C6F">
        <w:rPr>
          <w:rFonts w:ascii="Gilroy-Regular" w:hAnsi="Gilroy-Regular"/>
          <w:b/>
          <w:sz w:val="22"/>
          <w:szCs w:val="22"/>
        </w:rPr>
        <w:t>Inquiries</w:t>
      </w:r>
    </w:p>
    <w:p w14:paraId="00EFCB54" w14:textId="00637FE8" w:rsidR="008F0933" w:rsidRPr="00C86C6F" w:rsidRDefault="008F0933" w:rsidP="00C5636D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Gilroy-Regular" w:hAnsi="Gilroy-Regular"/>
          <w:b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Inquiries to this policy can be directed to the </w:t>
      </w:r>
      <w:r w:rsidR="00216C5E" w:rsidRPr="00C86C6F">
        <w:rPr>
          <w:rFonts w:ascii="Gilroy-Regular" w:hAnsi="Gilroy-Regular"/>
          <w:sz w:val="22"/>
          <w:szCs w:val="22"/>
        </w:rPr>
        <w:t>Registrar</w:t>
      </w:r>
      <w:r w:rsidRPr="00C86C6F">
        <w:rPr>
          <w:rFonts w:ascii="Gilroy-Regular" w:hAnsi="Gilroy-Regular"/>
          <w:sz w:val="22"/>
          <w:szCs w:val="22"/>
        </w:rPr>
        <w:t>.</w:t>
      </w:r>
    </w:p>
    <w:p w14:paraId="0E8B06EE" w14:textId="77777777" w:rsidR="00C5636D" w:rsidRPr="00C86C6F" w:rsidRDefault="00C5636D" w:rsidP="00C5636D">
      <w:pPr>
        <w:pStyle w:val="ListParagraph"/>
        <w:spacing w:before="0" w:after="0" w:line="240" w:lineRule="auto"/>
        <w:ind w:left="1021"/>
        <w:contextualSpacing w:val="0"/>
        <w:jc w:val="both"/>
        <w:rPr>
          <w:rFonts w:ascii="Gilroy-Regular" w:hAnsi="Gilroy-Regular"/>
          <w:b/>
          <w:sz w:val="22"/>
          <w:szCs w:val="22"/>
        </w:rPr>
      </w:pPr>
    </w:p>
    <w:p w14:paraId="0A5802DA" w14:textId="77777777" w:rsidR="008F0933" w:rsidRPr="00C86C6F" w:rsidRDefault="008F0933" w:rsidP="00C5636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Gilroy-Regular" w:hAnsi="Gilroy-Regular"/>
          <w:b/>
          <w:sz w:val="22"/>
          <w:szCs w:val="22"/>
        </w:rPr>
      </w:pPr>
      <w:r w:rsidRPr="00C86C6F">
        <w:rPr>
          <w:rFonts w:ascii="Gilroy-Regular" w:hAnsi="Gilroy-Regular"/>
          <w:b/>
          <w:sz w:val="22"/>
          <w:szCs w:val="22"/>
        </w:rPr>
        <w:t>Amendments (Revision History)</w:t>
      </w:r>
    </w:p>
    <w:p w14:paraId="6D72148C" w14:textId="1FEC98E1" w:rsidR="008F0933" w:rsidRPr="00C86C6F" w:rsidRDefault="00C5636D" w:rsidP="00C86C6F">
      <w:pPr>
        <w:pStyle w:val="ListParagraph"/>
        <w:spacing w:before="120" w:after="0" w:line="240" w:lineRule="auto"/>
        <w:ind w:left="425"/>
        <w:contextualSpacing w:val="0"/>
        <w:jc w:val="both"/>
        <w:rPr>
          <w:rFonts w:ascii="Gilroy-Regular" w:hAnsi="Gilroy-Regular"/>
          <w:b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10.1</w:t>
      </w:r>
      <w:r w:rsidRPr="00C86C6F">
        <w:rPr>
          <w:rFonts w:ascii="Gilroy-Regular" w:hAnsi="Gilroy-Regular"/>
          <w:sz w:val="22"/>
          <w:szCs w:val="22"/>
        </w:rPr>
        <w:tab/>
      </w:r>
      <w:r w:rsidR="006B520B" w:rsidRPr="00C86C6F">
        <w:rPr>
          <w:rFonts w:ascii="Gilroy-Regular" w:hAnsi="Gilroy-Regular"/>
          <w:sz w:val="22"/>
          <w:szCs w:val="22"/>
        </w:rPr>
        <w:t>Approved by Academic Council: October 14, 2010</w:t>
      </w:r>
    </w:p>
    <w:p w14:paraId="4C8B42C5" w14:textId="439809D4" w:rsidR="00185700" w:rsidRPr="00C86C6F" w:rsidRDefault="00C5636D" w:rsidP="00C86C6F">
      <w:pPr>
        <w:pStyle w:val="ListParagraph"/>
        <w:spacing w:before="0" w:after="0" w:line="240" w:lineRule="auto"/>
        <w:ind w:left="425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10.2</w:t>
      </w:r>
      <w:r w:rsidRPr="00C86C6F">
        <w:rPr>
          <w:rFonts w:ascii="Gilroy-Regular" w:hAnsi="Gilroy-Regular"/>
          <w:sz w:val="22"/>
          <w:szCs w:val="22"/>
        </w:rPr>
        <w:tab/>
      </w:r>
      <w:r w:rsidR="00185700" w:rsidRPr="00C86C6F">
        <w:rPr>
          <w:rFonts w:ascii="Gilroy-Regular" w:hAnsi="Gilroy-Regular"/>
          <w:sz w:val="22"/>
          <w:szCs w:val="22"/>
        </w:rPr>
        <w:t>Revised and Approved by Academic Council:</w:t>
      </w:r>
      <w:r w:rsidR="001B46F2" w:rsidRPr="00C86C6F">
        <w:rPr>
          <w:rFonts w:ascii="Gilroy-Regular" w:hAnsi="Gilroy-Regular"/>
          <w:sz w:val="22"/>
          <w:szCs w:val="22"/>
        </w:rPr>
        <w:t xml:space="preserve"> </w:t>
      </w:r>
      <w:r w:rsidR="00185700" w:rsidRPr="00C86C6F">
        <w:rPr>
          <w:rFonts w:ascii="Gilroy-Regular" w:hAnsi="Gilroy-Regular"/>
          <w:sz w:val="22"/>
          <w:szCs w:val="22"/>
        </w:rPr>
        <w:t xml:space="preserve">February 12, 2015 </w:t>
      </w:r>
    </w:p>
    <w:p w14:paraId="635B5DF8" w14:textId="668B8C25" w:rsidR="00C5636D" w:rsidRPr="00C86C6F" w:rsidRDefault="00C5636D" w:rsidP="00C86C6F">
      <w:pPr>
        <w:pStyle w:val="ListParagraph"/>
        <w:spacing w:before="0" w:after="0" w:line="240" w:lineRule="auto"/>
        <w:ind w:left="425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10.3</w:t>
      </w:r>
      <w:r w:rsidRPr="00C86C6F">
        <w:rPr>
          <w:rFonts w:ascii="Gilroy-Regular" w:hAnsi="Gilroy-Regular"/>
          <w:sz w:val="22"/>
          <w:szCs w:val="22"/>
        </w:rPr>
        <w:tab/>
        <w:t>Reviewed and Recommended by Academic Council:  May 11, 2023</w:t>
      </w:r>
    </w:p>
    <w:p w14:paraId="2CA256F2" w14:textId="6828D500" w:rsidR="00C5636D" w:rsidRPr="00C86C6F" w:rsidRDefault="00C5636D" w:rsidP="00C5636D">
      <w:pPr>
        <w:pStyle w:val="ListParagraph"/>
        <w:spacing w:before="0" w:after="0" w:line="240" w:lineRule="auto"/>
        <w:ind w:left="426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10.4</w:t>
      </w:r>
      <w:r w:rsidRPr="00C86C6F">
        <w:rPr>
          <w:rFonts w:ascii="Gilroy-Regular" w:hAnsi="Gilroy-Regular"/>
          <w:sz w:val="22"/>
          <w:szCs w:val="22"/>
        </w:rPr>
        <w:tab/>
        <w:t>Approved by Board of Governors:  June 1, 2023</w:t>
      </w:r>
    </w:p>
    <w:p w14:paraId="442BD380" w14:textId="77777777" w:rsidR="00C5636D" w:rsidRPr="00C86C6F" w:rsidRDefault="00C5636D" w:rsidP="00C5636D">
      <w:pPr>
        <w:pStyle w:val="ITNumbered123"/>
        <w:spacing w:line="240" w:lineRule="auto"/>
        <w:rPr>
          <w:rFonts w:ascii="Gilroy-Regular" w:hAnsi="Gilroy-Regular"/>
          <w:sz w:val="22"/>
          <w:szCs w:val="22"/>
        </w:rPr>
      </w:pPr>
    </w:p>
    <w:p w14:paraId="0510EECC" w14:textId="77777777" w:rsidR="00C5636D" w:rsidRPr="00C86C6F" w:rsidRDefault="00C5636D" w:rsidP="00C5636D">
      <w:pPr>
        <w:pStyle w:val="ITNumbered123"/>
        <w:spacing w:line="240" w:lineRule="auto"/>
        <w:rPr>
          <w:rFonts w:ascii="Gilroy-Regular" w:hAnsi="Gilroy-Regular"/>
          <w:sz w:val="22"/>
          <w:szCs w:val="22"/>
        </w:rPr>
      </w:pPr>
    </w:p>
    <w:p w14:paraId="13271141" w14:textId="77777777" w:rsidR="00C86C6F" w:rsidRDefault="00C86C6F" w:rsidP="00C5636D">
      <w:pPr>
        <w:pStyle w:val="ITNumbered123"/>
        <w:spacing w:line="240" w:lineRule="auto"/>
        <w:rPr>
          <w:rFonts w:ascii="Gilroy-Regular" w:hAnsi="Gilroy-Regular"/>
          <w:sz w:val="32"/>
          <w:szCs w:val="32"/>
        </w:rPr>
      </w:pPr>
    </w:p>
    <w:p w14:paraId="6C49A9D4" w14:textId="2DAE4F5B" w:rsidR="007A7757" w:rsidRPr="00C86C6F" w:rsidRDefault="00C5636D" w:rsidP="00C5636D">
      <w:pPr>
        <w:pStyle w:val="ITNumbered123"/>
        <w:spacing w:line="240" w:lineRule="auto"/>
        <w:rPr>
          <w:rFonts w:ascii="Gilroy-Regular" w:hAnsi="Gilroy-Regular"/>
          <w:sz w:val="32"/>
          <w:szCs w:val="32"/>
        </w:rPr>
      </w:pPr>
      <w:r w:rsidRPr="00C86C6F">
        <w:rPr>
          <w:rFonts w:ascii="Gilroy-Regular" w:hAnsi="Gilroy-Regular"/>
          <w:sz w:val="32"/>
          <w:szCs w:val="32"/>
        </w:rPr>
        <w:t>App</w:t>
      </w:r>
      <w:r w:rsidR="007A7757" w:rsidRPr="00C86C6F">
        <w:rPr>
          <w:rFonts w:ascii="Gilroy-Regular" w:hAnsi="Gilroy-Regular"/>
          <w:sz w:val="32"/>
          <w:szCs w:val="32"/>
        </w:rPr>
        <w:t>endix 1 – Approval Process</w:t>
      </w:r>
    </w:p>
    <w:p w14:paraId="610517C9" w14:textId="21D30D12" w:rsidR="00421E08" w:rsidRPr="00C86C6F" w:rsidRDefault="00345DCF" w:rsidP="00C5636D">
      <w:pPr>
        <w:pStyle w:val="ListParagraph"/>
        <w:numPr>
          <w:ilvl w:val="0"/>
          <w:numId w:val="5"/>
        </w:numPr>
        <w:spacing w:before="120" w:line="240" w:lineRule="auto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New courses require </w:t>
      </w:r>
      <w:r w:rsidR="000C1B4B" w:rsidRPr="00C86C6F">
        <w:rPr>
          <w:rFonts w:ascii="Gilroy-Regular" w:hAnsi="Gilroy-Regular"/>
          <w:sz w:val="22"/>
          <w:szCs w:val="22"/>
        </w:rPr>
        <w:t xml:space="preserve">formal review by the Academic Department and the signatures of the Chairperson and Deans for presentation to Curriculum Committee for review and recommendation to </w:t>
      </w:r>
      <w:r w:rsidRPr="00C86C6F">
        <w:rPr>
          <w:rFonts w:ascii="Gilroy-Regular" w:hAnsi="Gilroy-Regular"/>
          <w:sz w:val="22"/>
          <w:szCs w:val="22"/>
        </w:rPr>
        <w:t xml:space="preserve">Academic Council approval. </w:t>
      </w:r>
    </w:p>
    <w:p w14:paraId="07525A1B" w14:textId="77777777" w:rsidR="00DB5339" w:rsidRPr="00C86C6F" w:rsidRDefault="0013559C" w:rsidP="00C5636D">
      <w:pPr>
        <w:pStyle w:val="ListParagraph"/>
        <w:numPr>
          <w:ilvl w:val="0"/>
          <w:numId w:val="5"/>
        </w:numPr>
        <w:spacing w:before="120" w:line="240" w:lineRule="auto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Changes t</w:t>
      </w:r>
      <w:r w:rsidR="00DE4385" w:rsidRPr="00C86C6F">
        <w:rPr>
          <w:rFonts w:ascii="Gilroy-Regular" w:hAnsi="Gilroy-Regular"/>
          <w:sz w:val="22"/>
          <w:szCs w:val="22"/>
        </w:rPr>
        <w:t>o</w:t>
      </w:r>
      <w:r w:rsidR="00DB5339" w:rsidRPr="00C86C6F">
        <w:rPr>
          <w:rFonts w:ascii="Gilroy-Regular" w:hAnsi="Gilroy-Regular"/>
          <w:sz w:val="22"/>
          <w:szCs w:val="22"/>
        </w:rPr>
        <w:t>:</w:t>
      </w:r>
    </w:p>
    <w:p w14:paraId="1C1DEC2A" w14:textId="38A9420B" w:rsidR="00DB5339" w:rsidRPr="00C86C6F" w:rsidRDefault="00FD4D87" w:rsidP="00C5636D">
      <w:pPr>
        <w:pStyle w:val="ListParagraph"/>
        <w:numPr>
          <w:ilvl w:val="1"/>
          <w:numId w:val="5"/>
        </w:numPr>
        <w:spacing w:before="120" w:line="240" w:lineRule="auto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course number, </w:t>
      </w:r>
    </w:p>
    <w:p w14:paraId="01CE0C5A" w14:textId="77777777" w:rsidR="00DB5339" w:rsidRPr="00C86C6F" w:rsidRDefault="00FD4D87" w:rsidP="00C5636D">
      <w:pPr>
        <w:pStyle w:val="ListParagraph"/>
        <w:numPr>
          <w:ilvl w:val="1"/>
          <w:numId w:val="5"/>
        </w:numPr>
        <w:spacing w:before="120" w:line="240" w:lineRule="auto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course title, </w:t>
      </w:r>
    </w:p>
    <w:p w14:paraId="543D86F3" w14:textId="77777777" w:rsidR="00DB5339" w:rsidRPr="00C86C6F" w:rsidRDefault="00FD4D87" w:rsidP="00C5636D">
      <w:pPr>
        <w:pStyle w:val="ListParagraph"/>
        <w:numPr>
          <w:ilvl w:val="1"/>
          <w:numId w:val="5"/>
        </w:numPr>
        <w:spacing w:before="120" w:line="240" w:lineRule="auto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credit/contact hours, </w:t>
      </w:r>
    </w:p>
    <w:p w14:paraId="5A19AEBA" w14:textId="77777777" w:rsidR="00DB5339" w:rsidRPr="00C86C6F" w:rsidRDefault="00FD4D87" w:rsidP="00C5636D">
      <w:pPr>
        <w:pStyle w:val="ListParagraph"/>
        <w:numPr>
          <w:ilvl w:val="1"/>
          <w:numId w:val="5"/>
        </w:numPr>
        <w:spacing w:before="120" w:line="240" w:lineRule="auto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prerequisite and corequisites, </w:t>
      </w:r>
    </w:p>
    <w:p w14:paraId="56AEBC0F" w14:textId="505781AA" w:rsidR="00DB5339" w:rsidRPr="00C86C6F" w:rsidRDefault="00FD4D87" w:rsidP="00C5636D">
      <w:pPr>
        <w:pStyle w:val="ListParagraph"/>
        <w:numPr>
          <w:ilvl w:val="1"/>
          <w:numId w:val="5"/>
        </w:numPr>
        <w:spacing w:before="120" w:line="240" w:lineRule="auto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calendar description, </w:t>
      </w:r>
    </w:p>
    <w:p w14:paraId="058348CD" w14:textId="77777777" w:rsidR="00DB5339" w:rsidRPr="00C86C6F" w:rsidRDefault="00FD4D87" w:rsidP="00C5636D">
      <w:pPr>
        <w:pStyle w:val="ListParagraph"/>
        <w:numPr>
          <w:ilvl w:val="1"/>
          <w:numId w:val="5"/>
        </w:numPr>
        <w:spacing w:before="120" w:line="240" w:lineRule="auto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learning outcomes, </w:t>
      </w:r>
    </w:p>
    <w:p w14:paraId="1B6E57E8" w14:textId="15A4EB6D" w:rsidR="00421E08" w:rsidRPr="00C86C6F" w:rsidRDefault="00345DCF" w:rsidP="00C5636D">
      <w:pPr>
        <w:spacing w:before="120" w:line="240" w:lineRule="auto"/>
        <w:ind w:left="454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 xml:space="preserve">require formal review by the Academic Department and the signatures of the Chairperson and Deans for presentation to Curriculum Committee for review and recommendation to Academic Council for approval. </w:t>
      </w:r>
    </w:p>
    <w:p w14:paraId="735C26B4" w14:textId="77777777" w:rsidR="006B520B" w:rsidRPr="00C86C6F" w:rsidRDefault="006B520B" w:rsidP="00C5636D">
      <w:pPr>
        <w:spacing w:before="0" w:after="160" w:line="240" w:lineRule="auto"/>
        <w:rPr>
          <w:rFonts w:ascii="Gilroy-Regular" w:hAnsi="Gilroy-Regular"/>
          <w:b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br w:type="page"/>
      </w:r>
    </w:p>
    <w:p w14:paraId="4B97DE40" w14:textId="77777777" w:rsidR="00C5636D" w:rsidRPr="00C86C6F" w:rsidRDefault="00C5636D" w:rsidP="00C5636D">
      <w:pPr>
        <w:pStyle w:val="ITNumbered123"/>
        <w:spacing w:line="240" w:lineRule="auto"/>
        <w:rPr>
          <w:rFonts w:ascii="Gilroy-Regular" w:hAnsi="Gilroy-Regular"/>
          <w:sz w:val="32"/>
          <w:szCs w:val="32"/>
        </w:rPr>
      </w:pPr>
    </w:p>
    <w:p w14:paraId="3145A9EC" w14:textId="0B8A16C3" w:rsidR="007A7757" w:rsidRPr="00C86C6F" w:rsidRDefault="00A03D93" w:rsidP="00C5636D">
      <w:pPr>
        <w:pStyle w:val="ITNumbered123"/>
        <w:spacing w:line="240" w:lineRule="auto"/>
        <w:rPr>
          <w:rFonts w:ascii="Gilroy-Regular" w:hAnsi="Gilroy-Regular"/>
          <w:sz w:val="32"/>
          <w:szCs w:val="32"/>
        </w:rPr>
      </w:pPr>
      <w:r w:rsidRPr="00C86C6F">
        <w:rPr>
          <w:rFonts w:ascii="Gilroy-Regular" w:hAnsi="Gilroy-Regular"/>
          <w:sz w:val="32"/>
          <w:szCs w:val="32"/>
        </w:rPr>
        <w:t xml:space="preserve">Appendix </w:t>
      </w:r>
      <w:r w:rsidR="007A7757" w:rsidRPr="00C86C6F">
        <w:rPr>
          <w:rFonts w:ascii="Gilroy-Regular" w:hAnsi="Gilroy-Regular"/>
          <w:sz w:val="32"/>
          <w:szCs w:val="32"/>
        </w:rPr>
        <w:t>2</w:t>
      </w:r>
      <w:r w:rsidRPr="00C86C6F">
        <w:rPr>
          <w:rFonts w:ascii="Gilroy-Regular" w:hAnsi="Gilroy-Regular"/>
          <w:sz w:val="32"/>
          <w:szCs w:val="32"/>
        </w:rPr>
        <w:t xml:space="preserve"> – </w:t>
      </w:r>
      <w:r w:rsidR="007A7757" w:rsidRPr="00C86C6F">
        <w:rPr>
          <w:rFonts w:ascii="Gilroy-Regular" w:hAnsi="Gilroy-Regular"/>
          <w:sz w:val="32"/>
          <w:szCs w:val="32"/>
        </w:rPr>
        <w:t>Submission Process</w:t>
      </w:r>
    </w:p>
    <w:p w14:paraId="5894972D" w14:textId="6893BE06" w:rsidR="00492D6A" w:rsidRPr="00C86C6F" w:rsidRDefault="00492D6A" w:rsidP="00C5636D">
      <w:pPr>
        <w:pStyle w:val="ListParagraph"/>
        <w:numPr>
          <w:ilvl w:val="0"/>
          <w:numId w:val="6"/>
        </w:numPr>
        <w:spacing w:before="120" w:line="240" w:lineRule="auto"/>
        <w:contextualSpacing w:val="0"/>
        <w:jc w:val="both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t>Instructors must submit their Course Outlines to their respective Chairperson 10 Business Days prior to the first day of class</w:t>
      </w:r>
      <w:r w:rsidR="003474FE" w:rsidRPr="00C86C6F">
        <w:rPr>
          <w:rFonts w:ascii="Gilroy-Regular" w:hAnsi="Gilroy-Regular"/>
          <w:sz w:val="22"/>
          <w:szCs w:val="22"/>
        </w:rPr>
        <w:t xml:space="preserve"> in the semester of which the course is being delivered</w:t>
      </w:r>
      <w:r w:rsidRPr="00C86C6F">
        <w:rPr>
          <w:rFonts w:ascii="Gilroy-Regular" w:hAnsi="Gilroy-Regular"/>
          <w:sz w:val="22"/>
          <w:szCs w:val="22"/>
        </w:rPr>
        <w:t>.</w:t>
      </w:r>
      <w:r w:rsidR="001B46F2" w:rsidRPr="00C86C6F">
        <w:rPr>
          <w:rFonts w:ascii="Gilroy-Regular" w:hAnsi="Gilroy-Regular"/>
          <w:sz w:val="22"/>
          <w:szCs w:val="22"/>
        </w:rPr>
        <w:t xml:space="preserve"> </w:t>
      </w:r>
      <w:r w:rsidRPr="00C86C6F">
        <w:rPr>
          <w:rFonts w:ascii="Gilroy-Regular" w:hAnsi="Gilroy-Regular"/>
          <w:sz w:val="22"/>
          <w:szCs w:val="22"/>
        </w:rPr>
        <w:t xml:space="preserve"> Chairpersons must submit their </w:t>
      </w:r>
      <w:r w:rsidR="00BF2BF8" w:rsidRPr="00C86C6F">
        <w:rPr>
          <w:rFonts w:ascii="Gilroy-Regular" w:hAnsi="Gilroy-Regular"/>
          <w:sz w:val="22"/>
          <w:szCs w:val="22"/>
        </w:rPr>
        <w:t xml:space="preserve">departments </w:t>
      </w:r>
      <w:r w:rsidRPr="00C86C6F">
        <w:rPr>
          <w:rFonts w:ascii="Gilroy-Regular" w:hAnsi="Gilroy-Regular"/>
          <w:sz w:val="22"/>
          <w:szCs w:val="22"/>
        </w:rPr>
        <w:t xml:space="preserve">Course Outlines to the Registrar’s Office 5 Business Days prior to the first day of class. </w:t>
      </w:r>
    </w:p>
    <w:p w14:paraId="46FB3B2A" w14:textId="77777777" w:rsidR="00E715D5" w:rsidRPr="00C86C6F" w:rsidRDefault="00E715D5" w:rsidP="00C5636D">
      <w:pPr>
        <w:spacing w:before="120" w:line="240" w:lineRule="auto"/>
        <w:jc w:val="both"/>
        <w:rPr>
          <w:rFonts w:ascii="Gilroy-Regular" w:hAnsi="Gilroy-Regular"/>
          <w:sz w:val="22"/>
          <w:szCs w:val="22"/>
        </w:rPr>
      </w:pPr>
    </w:p>
    <w:p w14:paraId="5D28ABE8" w14:textId="77777777" w:rsidR="00E715D5" w:rsidRPr="00C86C6F" w:rsidRDefault="00E715D5" w:rsidP="00C5636D">
      <w:pPr>
        <w:spacing w:before="120" w:line="240" w:lineRule="auto"/>
        <w:jc w:val="both"/>
        <w:rPr>
          <w:rFonts w:ascii="Gilroy-Regular" w:hAnsi="Gilroy-Regular"/>
          <w:sz w:val="22"/>
          <w:szCs w:val="22"/>
        </w:rPr>
      </w:pPr>
    </w:p>
    <w:p w14:paraId="7C57DCBD" w14:textId="77777777" w:rsidR="00E715D5" w:rsidRPr="00C86C6F" w:rsidRDefault="00E715D5" w:rsidP="00C5636D">
      <w:pPr>
        <w:spacing w:before="0" w:after="160" w:line="240" w:lineRule="auto"/>
        <w:rPr>
          <w:rFonts w:ascii="Gilroy-Regular" w:hAnsi="Gilroy-Regular"/>
          <w:sz w:val="22"/>
          <w:szCs w:val="22"/>
        </w:rPr>
      </w:pPr>
    </w:p>
    <w:p w14:paraId="51BC295B" w14:textId="77777777" w:rsidR="00E715D5" w:rsidRPr="00C86C6F" w:rsidRDefault="00E715D5" w:rsidP="00C5636D">
      <w:pPr>
        <w:spacing w:before="0" w:after="160" w:line="240" w:lineRule="auto"/>
        <w:rPr>
          <w:rFonts w:ascii="Gilroy-Regular" w:hAnsi="Gilroy-Regular"/>
          <w:sz w:val="22"/>
          <w:szCs w:val="22"/>
        </w:rPr>
      </w:pPr>
    </w:p>
    <w:p w14:paraId="185335EF" w14:textId="77777777" w:rsidR="006B520B" w:rsidRPr="00C86C6F" w:rsidRDefault="006B520B" w:rsidP="00C5636D">
      <w:pPr>
        <w:spacing w:before="0" w:after="160" w:line="240" w:lineRule="auto"/>
        <w:rPr>
          <w:rFonts w:ascii="Gilroy-Regular" w:hAnsi="Gilroy-Regular"/>
          <w:sz w:val="22"/>
          <w:szCs w:val="22"/>
        </w:rPr>
      </w:pPr>
      <w:r w:rsidRPr="00C86C6F">
        <w:rPr>
          <w:rFonts w:ascii="Gilroy-Regular" w:hAnsi="Gilroy-Regular"/>
          <w:sz w:val="22"/>
          <w:szCs w:val="22"/>
        </w:rPr>
        <w:lastRenderedPageBreak/>
        <w:br w:type="page"/>
      </w:r>
    </w:p>
    <w:p w14:paraId="4B48DE2D" w14:textId="0356053C" w:rsidR="00A03D93" w:rsidRPr="00C86C6F" w:rsidRDefault="007A7757" w:rsidP="00C5636D">
      <w:pPr>
        <w:pStyle w:val="ITNumbered123"/>
        <w:spacing w:line="240" w:lineRule="auto"/>
        <w:rPr>
          <w:rFonts w:ascii="Gilroy-Regular" w:hAnsi="Gilroy-Regular"/>
          <w:sz w:val="32"/>
          <w:szCs w:val="32"/>
        </w:rPr>
      </w:pPr>
      <w:r w:rsidRPr="00C86C6F">
        <w:rPr>
          <w:rFonts w:ascii="Gilroy-Regular" w:hAnsi="Gilroy-Regular"/>
          <w:sz w:val="32"/>
          <w:szCs w:val="32"/>
        </w:rPr>
        <w:lastRenderedPageBreak/>
        <w:t xml:space="preserve">Appendix </w:t>
      </w:r>
      <w:r w:rsidR="00FC28DD" w:rsidRPr="00C86C6F">
        <w:rPr>
          <w:rFonts w:ascii="Gilroy-Regular" w:hAnsi="Gilroy-Regular"/>
          <w:sz w:val="32"/>
          <w:szCs w:val="32"/>
        </w:rPr>
        <w:t>3</w:t>
      </w:r>
      <w:r w:rsidRPr="00C86C6F">
        <w:rPr>
          <w:rFonts w:ascii="Gilroy-Regular" w:hAnsi="Gilroy-Regular"/>
          <w:sz w:val="32"/>
          <w:szCs w:val="32"/>
        </w:rPr>
        <w:t xml:space="preserve"> - </w:t>
      </w:r>
      <w:r w:rsidR="006B520B" w:rsidRPr="00C86C6F">
        <w:rPr>
          <w:rFonts w:ascii="Gilroy-Regular" w:hAnsi="Gilroy-Regular"/>
          <w:sz w:val="32"/>
          <w:szCs w:val="32"/>
        </w:rPr>
        <w:t>Course Outline Template</w:t>
      </w:r>
      <w:r w:rsidR="001B46F2" w:rsidRPr="00C86C6F">
        <w:rPr>
          <w:rFonts w:ascii="Gilroy-Regular" w:hAnsi="Gilroy-Regular"/>
          <w:sz w:val="32"/>
          <w:szCs w:val="32"/>
        </w:rPr>
        <w:t xml:space="preserve"> </w:t>
      </w:r>
    </w:p>
    <w:p w14:paraId="005DF557" w14:textId="7908541A" w:rsidR="00BB6BAF" w:rsidRPr="00C86C6F" w:rsidRDefault="00BB6BAF" w:rsidP="00C5636D">
      <w:pPr>
        <w:spacing w:line="240" w:lineRule="auto"/>
        <w:rPr>
          <w:rFonts w:ascii="Gilroy-Regular" w:hAnsi="Gilroy-Regular"/>
          <w:sz w:val="22"/>
          <w:szCs w:val="22"/>
          <w:lang w:eastAsia="en-CA"/>
        </w:rPr>
      </w:pPr>
    </w:p>
    <w:p w14:paraId="765D04B9" w14:textId="77777777" w:rsidR="00C5636D" w:rsidRPr="00C86C6F" w:rsidRDefault="00C5636D" w:rsidP="00C5636D">
      <w:pPr>
        <w:pStyle w:val="Heading1"/>
        <w:tabs>
          <w:tab w:val="left" w:pos="2610"/>
        </w:tabs>
        <w:spacing w:after="0"/>
        <w:rPr>
          <w:rFonts w:ascii="Gilroy-Regular" w:hAnsi="Gilroy-Regular"/>
          <w:sz w:val="24"/>
        </w:rPr>
      </w:pPr>
      <w:r w:rsidRPr="00C86C6F">
        <w:rPr>
          <w:rFonts w:ascii="Gilroy-Regular" w:hAnsi="Gilroy-Regular"/>
          <w:b/>
          <w:sz w:val="24"/>
        </w:rPr>
        <w:t>DEPARTMENT Name</w:t>
      </w:r>
    </w:p>
    <w:p w14:paraId="698B18F4" w14:textId="77777777" w:rsidR="00C5636D" w:rsidRPr="00C86C6F" w:rsidRDefault="00C5636D" w:rsidP="00C5636D">
      <w:pPr>
        <w:spacing w:before="120" w:after="240" w:line="240" w:lineRule="auto"/>
        <w:jc w:val="center"/>
        <w:rPr>
          <w:rFonts w:ascii="Gilroy-Regular" w:hAnsi="Gilroy-Regular"/>
          <w:b/>
          <w:sz w:val="24"/>
        </w:rPr>
      </w:pPr>
      <w:r w:rsidRPr="00C86C6F">
        <w:rPr>
          <w:rFonts w:ascii="Gilroy-Regular" w:hAnsi="Gilroy-Regular"/>
          <w:b/>
          <w:sz w:val="24"/>
        </w:rPr>
        <w:t>COURSE OUTLINE – Fall/Winter/Spring 202x</w:t>
      </w:r>
    </w:p>
    <w:p w14:paraId="18492A46" w14:textId="77777777" w:rsidR="00C5636D" w:rsidRPr="00C86C6F" w:rsidRDefault="00C5636D" w:rsidP="00C5636D">
      <w:pPr>
        <w:jc w:val="center"/>
        <w:rPr>
          <w:rFonts w:ascii="Gilroy-Regular" w:hAnsi="Gilroy-Regular"/>
          <w:b/>
          <w:sz w:val="24"/>
        </w:rPr>
      </w:pPr>
      <w:proofErr w:type="spellStart"/>
      <w:r w:rsidRPr="00C86C6F">
        <w:rPr>
          <w:rFonts w:ascii="Gilroy-Regular" w:hAnsi="Gilroy-Regular"/>
          <w:b/>
          <w:sz w:val="24"/>
        </w:rPr>
        <w:t>TTxxxx</w:t>
      </w:r>
      <w:proofErr w:type="spellEnd"/>
      <w:r w:rsidRPr="00C86C6F">
        <w:rPr>
          <w:rFonts w:ascii="Gilroy-Regular" w:hAnsi="Gilroy-Regular"/>
          <w:b/>
          <w:sz w:val="24"/>
        </w:rPr>
        <w:t xml:space="preserve"> (xx):</w:t>
      </w:r>
      <w:r w:rsidRPr="00C86C6F">
        <w:rPr>
          <w:rFonts w:ascii="Gilroy-Regular" w:hAnsi="Gilroy-Regular"/>
          <w:sz w:val="24"/>
        </w:rPr>
        <w:t xml:space="preserve"> </w:t>
      </w:r>
      <w:r w:rsidRPr="00C86C6F">
        <w:rPr>
          <w:rFonts w:ascii="Gilroy-Regular" w:hAnsi="Gilroy-Regular"/>
          <w:b/>
          <w:sz w:val="24"/>
        </w:rPr>
        <w:t>Name of the course – x (x-x-x) xx Hours for xx Weeks</w:t>
      </w:r>
    </w:p>
    <w:p w14:paraId="49E78CE8" w14:textId="77777777" w:rsidR="00C5636D" w:rsidRPr="00C86C6F" w:rsidRDefault="00C5636D" w:rsidP="00C5636D">
      <w:pPr>
        <w:jc w:val="center"/>
        <w:rPr>
          <w:rFonts w:ascii="Gilroy-Regular" w:hAnsi="Gilroy-Regular"/>
          <w:b/>
          <w:sz w:val="24"/>
        </w:rPr>
      </w:pPr>
    </w:p>
    <w:p w14:paraId="53157314" w14:textId="77777777" w:rsidR="00C5636D" w:rsidRPr="00C86C6F" w:rsidRDefault="00C5636D" w:rsidP="00C86C6F">
      <w:pPr>
        <w:spacing w:line="240" w:lineRule="auto"/>
        <w:rPr>
          <w:rFonts w:ascii="Gilroy-Regular" w:hAnsi="Gilroy-Regular" w:cs="Century Gothic"/>
          <w:color w:val="000000"/>
          <w:sz w:val="24"/>
        </w:rPr>
      </w:pPr>
      <w:r w:rsidRPr="00C86C6F">
        <w:rPr>
          <w:rFonts w:ascii="Gilroy-Regular" w:hAnsi="Gilroy-Regular" w:cs="Century Gothic"/>
          <w:color w:val="000000"/>
          <w:sz w:val="24"/>
        </w:rPr>
        <w:t xml:space="preserve">Northwestern Polytechnic acknowledges that our campuses are located on Treaty 8 territory, the ancestral and present-day home to many diverse First Nations, Metis, and Inuit people. We are grateful to work, live and learn on the traditional territory of Duncan's First Nation, Horse Lake First </w:t>
      </w:r>
      <w:proofErr w:type="gramStart"/>
      <w:r w:rsidRPr="00C86C6F">
        <w:rPr>
          <w:rFonts w:ascii="Gilroy-Regular" w:hAnsi="Gilroy-Regular" w:cs="Century Gothic"/>
          <w:color w:val="000000"/>
          <w:sz w:val="24"/>
        </w:rPr>
        <w:t>Nation</w:t>
      </w:r>
      <w:proofErr w:type="gramEnd"/>
      <w:r w:rsidRPr="00C86C6F">
        <w:rPr>
          <w:rFonts w:ascii="Gilroy-Regular" w:hAnsi="Gilroy-Regular" w:cs="Century Gothic"/>
          <w:color w:val="000000"/>
          <w:sz w:val="24"/>
        </w:rPr>
        <w:t xml:space="preserve"> and Sturgeon Lake Cree Nation, who are the original caretakers of this land.</w:t>
      </w:r>
    </w:p>
    <w:p w14:paraId="78EC9516" w14:textId="77777777" w:rsidR="00C5636D" w:rsidRPr="00C86C6F" w:rsidRDefault="00C5636D" w:rsidP="00C86C6F">
      <w:pPr>
        <w:spacing w:line="240" w:lineRule="auto"/>
        <w:rPr>
          <w:rFonts w:ascii="Gilroy-Regular" w:hAnsi="Gilroy-Regular" w:cs="Century Gothic"/>
          <w:color w:val="000000"/>
          <w:sz w:val="24"/>
        </w:rPr>
      </w:pPr>
      <w:r w:rsidRPr="00C86C6F">
        <w:rPr>
          <w:rFonts w:ascii="Gilroy-Regular" w:hAnsi="Gilroy-Regular" w:cs="Century Gothic"/>
          <w:color w:val="000000"/>
          <w:sz w:val="24"/>
        </w:rPr>
        <w:t xml:space="preserve"> </w:t>
      </w:r>
    </w:p>
    <w:p w14:paraId="2720707E" w14:textId="77777777" w:rsidR="00C5636D" w:rsidRPr="00C86C6F" w:rsidRDefault="00C5636D" w:rsidP="00C86C6F">
      <w:pPr>
        <w:spacing w:line="240" w:lineRule="auto"/>
        <w:rPr>
          <w:rFonts w:ascii="Gilroy-Regular" w:hAnsi="Gilroy-Regular" w:cs="Century Gothic"/>
          <w:color w:val="000000"/>
          <w:sz w:val="24"/>
        </w:rPr>
      </w:pPr>
      <w:r w:rsidRPr="00C86C6F">
        <w:rPr>
          <w:rFonts w:ascii="Gilroy-Regular" w:hAnsi="Gilroy-Regular" w:cs="Century Gothic"/>
          <w:color w:val="000000"/>
          <w:sz w:val="24"/>
        </w:rPr>
        <w:t xml:space="preserve">We acknowledge the history of this </w:t>
      </w:r>
      <w:proofErr w:type="gramStart"/>
      <w:r w:rsidRPr="00C86C6F">
        <w:rPr>
          <w:rFonts w:ascii="Gilroy-Regular" w:hAnsi="Gilroy-Regular" w:cs="Century Gothic"/>
          <w:color w:val="000000"/>
          <w:sz w:val="24"/>
        </w:rPr>
        <w:t>land</w:t>
      </w:r>
      <w:proofErr w:type="gramEnd"/>
      <w:r w:rsidRPr="00C86C6F">
        <w:rPr>
          <w:rFonts w:ascii="Gilroy-Regular" w:hAnsi="Gilroy-Regular" w:cs="Century Gothic"/>
          <w:color w:val="000000"/>
          <w:sz w:val="24"/>
        </w:rPr>
        <w:t xml:space="preserve"> and we are thankful for the opportunity to walk together in friendship, where we will encourage and promote positive change for present and future generations.</w:t>
      </w:r>
    </w:p>
    <w:p w14:paraId="22886339" w14:textId="77777777" w:rsidR="00C5636D" w:rsidRPr="00C86C6F" w:rsidRDefault="00C5636D" w:rsidP="00C5636D">
      <w:pPr>
        <w:rPr>
          <w:rFonts w:ascii="Gilroy-Regular" w:hAnsi="Gilroy-Regular"/>
          <w:b/>
          <w:sz w:val="24"/>
        </w:rPr>
      </w:pPr>
    </w:p>
    <w:tbl>
      <w:tblPr>
        <w:tblW w:w="0" w:type="auto"/>
        <w:tblInd w:w="-90" w:type="dxa"/>
        <w:tblLook w:val="0000" w:firstRow="0" w:lastRow="0" w:firstColumn="0" w:lastColumn="0" w:noHBand="0" w:noVBand="0"/>
      </w:tblPr>
      <w:tblGrid>
        <w:gridCol w:w="2235"/>
        <w:gridCol w:w="2640"/>
        <w:gridCol w:w="1245"/>
        <w:gridCol w:w="3330"/>
      </w:tblGrid>
      <w:tr w:rsidR="00C5636D" w:rsidRPr="00C86C6F" w14:paraId="59A79BD4" w14:textId="77777777" w:rsidTr="003639D7">
        <w:trPr>
          <w:trHeight w:val="87"/>
        </w:trPr>
        <w:tc>
          <w:tcPr>
            <w:tcW w:w="2250" w:type="dxa"/>
          </w:tcPr>
          <w:p w14:paraId="65534631" w14:textId="77777777" w:rsidR="00C5636D" w:rsidRPr="00C86C6F" w:rsidRDefault="00C5636D" w:rsidP="003639D7">
            <w:pPr>
              <w:pStyle w:val="InstructorInformation"/>
              <w:rPr>
                <w:rFonts w:ascii="Gilroy-Regular" w:hAnsi="Gilroy-Regular"/>
                <w:b/>
                <w:sz w:val="24"/>
                <w:szCs w:val="24"/>
              </w:rPr>
            </w:pPr>
            <w:r w:rsidRPr="00C86C6F">
              <w:rPr>
                <w:rFonts w:ascii="Gilroy-Regular" w:hAnsi="Gilroy-Regular"/>
                <w:b/>
                <w:sz w:val="24"/>
                <w:szCs w:val="24"/>
              </w:rPr>
              <w:t xml:space="preserve">INSTRUCTOR: </w:t>
            </w:r>
          </w:p>
        </w:tc>
        <w:tc>
          <w:tcPr>
            <w:tcW w:w="2710" w:type="dxa"/>
          </w:tcPr>
          <w:p w14:paraId="46B8A064" w14:textId="77777777" w:rsidR="00C5636D" w:rsidRPr="00C86C6F" w:rsidRDefault="00C5636D" w:rsidP="003639D7">
            <w:pPr>
              <w:pStyle w:val="InstructorInformation"/>
              <w:rPr>
                <w:rFonts w:ascii="Gilroy-Regular" w:hAnsi="Gilroy-Regular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3EDE6F5" w14:textId="77777777" w:rsidR="00C5636D" w:rsidRPr="00C86C6F" w:rsidRDefault="00C5636D" w:rsidP="003639D7">
            <w:pPr>
              <w:pStyle w:val="InstructorInformation"/>
              <w:rPr>
                <w:rFonts w:ascii="Gilroy-Regular" w:hAnsi="Gilroy-Regular"/>
                <w:b/>
                <w:sz w:val="24"/>
                <w:szCs w:val="24"/>
              </w:rPr>
            </w:pPr>
            <w:r w:rsidRPr="00C86C6F">
              <w:rPr>
                <w:rFonts w:ascii="Gilroy-Regular" w:hAnsi="Gilroy-Regular"/>
                <w:b/>
                <w:sz w:val="24"/>
                <w:szCs w:val="24"/>
              </w:rPr>
              <w:t>PHONE:</w:t>
            </w:r>
          </w:p>
        </w:tc>
        <w:tc>
          <w:tcPr>
            <w:tcW w:w="3420" w:type="dxa"/>
          </w:tcPr>
          <w:p w14:paraId="48C21B8C" w14:textId="77777777" w:rsidR="00C5636D" w:rsidRPr="00C86C6F" w:rsidRDefault="00C5636D" w:rsidP="003639D7">
            <w:pPr>
              <w:pStyle w:val="InstructorInformation"/>
              <w:rPr>
                <w:rFonts w:ascii="Gilroy-Regular" w:hAnsi="Gilroy-Regular"/>
                <w:sz w:val="24"/>
                <w:szCs w:val="24"/>
              </w:rPr>
            </w:pPr>
          </w:p>
        </w:tc>
      </w:tr>
      <w:tr w:rsidR="00C5636D" w:rsidRPr="00C86C6F" w14:paraId="7E7E848A" w14:textId="77777777" w:rsidTr="003639D7">
        <w:trPr>
          <w:trHeight w:val="87"/>
        </w:trPr>
        <w:tc>
          <w:tcPr>
            <w:tcW w:w="2250" w:type="dxa"/>
          </w:tcPr>
          <w:p w14:paraId="0E120948" w14:textId="77777777" w:rsidR="00C5636D" w:rsidRPr="00C86C6F" w:rsidRDefault="00C5636D" w:rsidP="003639D7">
            <w:pPr>
              <w:pStyle w:val="InstructorInformation"/>
              <w:rPr>
                <w:rFonts w:ascii="Gilroy-Regular" w:hAnsi="Gilroy-Regular"/>
                <w:b/>
                <w:sz w:val="24"/>
                <w:szCs w:val="24"/>
              </w:rPr>
            </w:pPr>
            <w:r w:rsidRPr="00C86C6F">
              <w:rPr>
                <w:rFonts w:ascii="Gilroy-Regular" w:hAnsi="Gilroy-Regular"/>
                <w:b/>
                <w:sz w:val="24"/>
                <w:szCs w:val="24"/>
              </w:rPr>
              <w:t>OFFICE:</w:t>
            </w:r>
          </w:p>
        </w:tc>
        <w:tc>
          <w:tcPr>
            <w:tcW w:w="2710" w:type="dxa"/>
          </w:tcPr>
          <w:p w14:paraId="64FACCE5" w14:textId="77777777" w:rsidR="00C5636D" w:rsidRPr="00C86C6F" w:rsidRDefault="00C5636D" w:rsidP="003639D7">
            <w:pPr>
              <w:pStyle w:val="InstructorInformation"/>
              <w:rPr>
                <w:rFonts w:ascii="Gilroy-Regular" w:hAnsi="Gilroy-Regular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49360CF" w14:textId="77777777" w:rsidR="00C5636D" w:rsidRPr="00C86C6F" w:rsidRDefault="00C5636D" w:rsidP="003639D7">
            <w:pPr>
              <w:pStyle w:val="InstructorInformation"/>
              <w:rPr>
                <w:rFonts w:ascii="Gilroy-Regular" w:hAnsi="Gilroy-Regular"/>
                <w:b/>
                <w:sz w:val="24"/>
                <w:szCs w:val="24"/>
              </w:rPr>
            </w:pPr>
            <w:r w:rsidRPr="00C86C6F">
              <w:rPr>
                <w:rFonts w:ascii="Gilroy-Regular" w:hAnsi="Gilroy-Regular"/>
                <w:b/>
                <w:sz w:val="24"/>
                <w:szCs w:val="24"/>
              </w:rPr>
              <w:t>E-MAIL:</w:t>
            </w:r>
          </w:p>
        </w:tc>
        <w:tc>
          <w:tcPr>
            <w:tcW w:w="3420" w:type="dxa"/>
          </w:tcPr>
          <w:p w14:paraId="24F5A318" w14:textId="77777777" w:rsidR="00C5636D" w:rsidRPr="00C86C6F" w:rsidRDefault="00C5636D" w:rsidP="003639D7">
            <w:pPr>
              <w:pStyle w:val="InstructorInformation"/>
              <w:rPr>
                <w:rFonts w:ascii="Gilroy-Regular" w:hAnsi="Gilroy-Regular"/>
                <w:sz w:val="24"/>
                <w:szCs w:val="24"/>
              </w:rPr>
            </w:pPr>
          </w:p>
        </w:tc>
      </w:tr>
      <w:tr w:rsidR="00C5636D" w:rsidRPr="00C86C6F" w14:paraId="5AB87F3A" w14:textId="77777777" w:rsidTr="003639D7">
        <w:trPr>
          <w:trHeight w:val="315"/>
        </w:trPr>
        <w:tc>
          <w:tcPr>
            <w:tcW w:w="2250" w:type="dxa"/>
            <w:vAlign w:val="bottom"/>
          </w:tcPr>
          <w:p w14:paraId="56AFA482" w14:textId="77777777" w:rsidR="00C5636D" w:rsidRPr="00C86C6F" w:rsidRDefault="00C5636D" w:rsidP="003639D7">
            <w:pPr>
              <w:pStyle w:val="InstructorInformation"/>
              <w:rPr>
                <w:rFonts w:ascii="Gilroy-Regular" w:hAnsi="Gilroy-Regular"/>
                <w:b/>
                <w:sz w:val="24"/>
                <w:szCs w:val="24"/>
              </w:rPr>
            </w:pPr>
            <w:r w:rsidRPr="00C86C6F">
              <w:rPr>
                <w:rFonts w:ascii="Gilroy-Regular" w:hAnsi="Gilroy-Regular"/>
                <w:b/>
                <w:sz w:val="24"/>
                <w:szCs w:val="24"/>
              </w:rPr>
              <w:t>OFFICE HOURS:</w:t>
            </w:r>
          </w:p>
        </w:tc>
        <w:tc>
          <w:tcPr>
            <w:tcW w:w="7380" w:type="dxa"/>
            <w:gridSpan w:val="3"/>
            <w:vAlign w:val="bottom"/>
          </w:tcPr>
          <w:p w14:paraId="2B46EB2A" w14:textId="77777777" w:rsidR="00C5636D" w:rsidRPr="00C86C6F" w:rsidRDefault="00C5636D" w:rsidP="003639D7">
            <w:pPr>
              <w:pStyle w:val="InstructorInformation"/>
              <w:rPr>
                <w:rFonts w:ascii="Gilroy-Regular" w:hAnsi="Gilroy-Regular"/>
                <w:sz w:val="24"/>
                <w:szCs w:val="24"/>
              </w:rPr>
            </w:pPr>
          </w:p>
        </w:tc>
      </w:tr>
    </w:tbl>
    <w:p w14:paraId="72F5AD28" w14:textId="77777777" w:rsidR="00C5636D" w:rsidRPr="00C86C6F" w:rsidRDefault="00C5636D" w:rsidP="00C5636D">
      <w:pPr>
        <w:pStyle w:val="Heading2"/>
        <w:spacing w:before="0" w:line="276" w:lineRule="auto"/>
        <w:rPr>
          <w:rFonts w:ascii="Gilroy-Regular" w:hAnsi="Gilroy-Regular"/>
          <w:b/>
          <w:sz w:val="24"/>
        </w:rPr>
      </w:pPr>
    </w:p>
    <w:p w14:paraId="5600D69C" w14:textId="77777777" w:rsidR="00C5636D" w:rsidRPr="00C86C6F" w:rsidRDefault="00C5636D" w:rsidP="00C5636D">
      <w:pPr>
        <w:pStyle w:val="Heading2"/>
        <w:spacing w:before="0" w:line="276" w:lineRule="auto"/>
        <w:rPr>
          <w:rFonts w:ascii="Gilroy-Regular" w:hAnsi="Gilroy-Regular"/>
          <w:b/>
          <w:sz w:val="24"/>
        </w:rPr>
      </w:pPr>
      <w:r w:rsidRPr="00C86C6F">
        <w:rPr>
          <w:rFonts w:ascii="Gilroy-Regular" w:hAnsi="Gilroy-Regular"/>
          <w:b/>
          <w:sz w:val="24"/>
        </w:rPr>
        <w:t xml:space="preserve">CALENDAR DESCRIPTION: </w:t>
      </w:r>
    </w:p>
    <w:p w14:paraId="7935FAE8" w14:textId="77777777" w:rsidR="00C5636D" w:rsidRPr="00C86C6F" w:rsidRDefault="00C5636D" w:rsidP="00C5636D">
      <w:pPr>
        <w:pStyle w:val="Heading2"/>
        <w:spacing w:before="0" w:line="276" w:lineRule="auto"/>
        <w:rPr>
          <w:rFonts w:ascii="Gilroy-Regular" w:hAnsi="Gilroy-Regular"/>
          <w:b/>
          <w:sz w:val="24"/>
        </w:rPr>
      </w:pPr>
    </w:p>
    <w:p w14:paraId="26E78720" w14:textId="77777777" w:rsidR="00C5636D" w:rsidRPr="00C86C6F" w:rsidRDefault="00C5636D" w:rsidP="00C5636D">
      <w:pPr>
        <w:pStyle w:val="Heading2"/>
        <w:spacing w:before="0" w:line="276" w:lineRule="auto"/>
        <w:rPr>
          <w:rFonts w:ascii="Gilroy-Regular" w:hAnsi="Gilroy-Regular"/>
          <w:b/>
          <w:sz w:val="24"/>
        </w:rPr>
      </w:pPr>
      <w:r w:rsidRPr="00C86C6F">
        <w:rPr>
          <w:rFonts w:ascii="Gilroy-Regular" w:hAnsi="Gilroy-Regular"/>
          <w:b/>
          <w:sz w:val="24"/>
        </w:rPr>
        <w:t>PREREQUISITE(S)/COREQUISITE:</w:t>
      </w:r>
    </w:p>
    <w:p w14:paraId="1B379F62" w14:textId="77777777" w:rsidR="00C5636D" w:rsidRPr="00C86C6F" w:rsidRDefault="00C5636D" w:rsidP="00C5636D">
      <w:pPr>
        <w:pStyle w:val="NoSpacing"/>
        <w:rPr>
          <w:rFonts w:ascii="Gilroy-Regular" w:hAnsi="Gilroy-Regular"/>
          <w:sz w:val="24"/>
        </w:rPr>
      </w:pPr>
    </w:p>
    <w:p w14:paraId="3FEA3464" w14:textId="77777777" w:rsidR="00C5636D" w:rsidRPr="00C86C6F" w:rsidRDefault="00C5636D" w:rsidP="00C5636D">
      <w:pPr>
        <w:pStyle w:val="Heading2"/>
        <w:spacing w:before="0" w:line="276" w:lineRule="auto"/>
        <w:rPr>
          <w:rFonts w:ascii="Gilroy-Regular" w:hAnsi="Gilroy-Regular"/>
          <w:b/>
          <w:sz w:val="24"/>
        </w:rPr>
      </w:pPr>
      <w:r w:rsidRPr="00C86C6F">
        <w:rPr>
          <w:rFonts w:ascii="Gilroy-Regular" w:hAnsi="Gilroy-Regular"/>
          <w:b/>
          <w:sz w:val="24"/>
        </w:rPr>
        <w:t>REQUIRED TEXT/RESOURCE MATERIALS:</w:t>
      </w:r>
    </w:p>
    <w:p w14:paraId="16E8A63D" w14:textId="77777777" w:rsidR="00C5636D" w:rsidRPr="00C86C6F" w:rsidRDefault="00C5636D" w:rsidP="00C5636D">
      <w:pPr>
        <w:rPr>
          <w:rFonts w:ascii="Gilroy-Regular" w:hAnsi="Gilroy-Regular"/>
        </w:rPr>
      </w:pPr>
      <w:r w:rsidRPr="00C86C6F">
        <w:rPr>
          <w:rFonts w:ascii="Gilroy-Regular" w:hAnsi="Gilroy-Regular"/>
        </w:rPr>
        <w:tab/>
      </w:r>
    </w:p>
    <w:p w14:paraId="763E37B1" w14:textId="77777777" w:rsidR="00C5636D" w:rsidRPr="00C86C6F" w:rsidRDefault="00C5636D" w:rsidP="00C5636D">
      <w:pPr>
        <w:pStyle w:val="Heading2"/>
        <w:spacing w:before="0" w:line="276" w:lineRule="auto"/>
        <w:rPr>
          <w:rFonts w:ascii="Gilroy-Regular" w:hAnsi="Gilroy-Regular"/>
          <w:sz w:val="24"/>
        </w:rPr>
      </w:pPr>
      <w:r w:rsidRPr="00C86C6F">
        <w:rPr>
          <w:rFonts w:ascii="Gilroy-Regular" w:hAnsi="Gilroy-Regular"/>
          <w:b/>
          <w:sz w:val="24"/>
        </w:rPr>
        <w:t>DELIVERY MODE(S):</w:t>
      </w:r>
    </w:p>
    <w:p w14:paraId="22502095" w14:textId="77777777" w:rsidR="00C5636D" w:rsidRPr="00C86C6F" w:rsidRDefault="00C5636D" w:rsidP="00C5636D">
      <w:pPr>
        <w:pStyle w:val="Default"/>
        <w:rPr>
          <w:rFonts w:ascii="Gilroy-Regular" w:hAnsi="Gilroy-Regular" w:cs="Times New Roman"/>
          <w:b/>
          <w:bCs/>
        </w:rPr>
      </w:pPr>
    </w:p>
    <w:p w14:paraId="76FEB085" w14:textId="77777777" w:rsidR="00C5636D" w:rsidRPr="00C86C6F" w:rsidRDefault="00C5636D" w:rsidP="00C5636D">
      <w:pPr>
        <w:pStyle w:val="Default"/>
        <w:rPr>
          <w:rFonts w:ascii="Gilroy-Regular" w:hAnsi="Gilroy-Regular" w:cs="Times New Roman"/>
          <w:b/>
          <w:bCs/>
        </w:rPr>
      </w:pPr>
      <w:r w:rsidRPr="00C86C6F">
        <w:rPr>
          <w:rFonts w:ascii="Gilroy-Regular" w:hAnsi="Gilroy-Regular" w:cs="Times New Roman"/>
          <w:b/>
          <w:bCs/>
        </w:rPr>
        <w:t xml:space="preserve">LEARNING OUTCOMES: </w:t>
      </w:r>
    </w:p>
    <w:p w14:paraId="23C6C798" w14:textId="77777777" w:rsidR="00C5636D" w:rsidRPr="00C86C6F" w:rsidRDefault="00C5636D" w:rsidP="00C5636D">
      <w:pPr>
        <w:pStyle w:val="Default"/>
        <w:spacing w:line="312" w:lineRule="auto"/>
        <w:rPr>
          <w:rFonts w:ascii="Gilroy-Regular" w:hAnsi="Gilroy-Regular" w:cs="Times New Roman"/>
          <w:b/>
          <w:bCs/>
        </w:rPr>
      </w:pPr>
    </w:p>
    <w:p w14:paraId="1BE3CDA4" w14:textId="77777777" w:rsidR="00C5636D" w:rsidRPr="00C86C6F" w:rsidRDefault="00C5636D" w:rsidP="00C5636D">
      <w:pPr>
        <w:pStyle w:val="Default"/>
        <w:spacing w:line="312" w:lineRule="auto"/>
        <w:rPr>
          <w:rFonts w:ascii="Gilroy-Regular" w:hAnsi="Gilroy-Regular" w:cs="Times New Roman"/>
          <w:b/>
          <w:bCs/>
        </w:rPr>
      </w:pPr>
      <w:r w:rsidRPr="00C86C6F">
        <w:rPr>
          <w:rFonts w:ascii="Gilroy-Regular" w:hAnsi="Gilroy-Regular" w:cs="Times New Roman"/>
          <w:b/>
          <w:bCs/>
        </w:rPr>
        <w:t xml:space="preserve">TRANSFERABILITY: </w:t>
      </w:r>
    </w:p>
    <w:p w14:paraId="0D54C1A1" w14:textId="77777777" w:rsidR="00C5636D" w:rsidRPr="00C86C6F" w:rsidRDefault="00C5636D" w:rsidP="00C5636D">
      <w:pPr>
        <w:pStyle w:val="Default"/>
        <w:rPr>
          <w:rFonts w:ascii="Gilroy-Regular" w:hAnsi="Gilroy-Regular" w:cs="Times New Roman"/>
          <w:lang w:val="en-CA"/>
        </w:rPr>
      </w:pPr>
      <w:r w:rsidRPr="00C86C6F">
        <w:rPr>
          <w:rFonts w:ascii="Gilroy-Regular" w:hAnsi="Gilroy-Regular"/>
        </w:rPr>
        <w:t xml:space="preserve">Please consult the Alberta Transfer Guide for more information. You may check to ensure the transferability of this course at the Alberta Transfer Guide main page </w:t>
      </w:r>
      <w:hyperlink r:id="rId8" w:history="1">
        <w:r w:rsidRPr="00C86C6F">
          <w:rPr>
            <w:rStyle w:val="Hyperlink"/>
            <w:rFonts w:ascii="Gilroy-Regular" w:hAnsi="Gilroy-Regular"/>
          </w:rPr>
          <w:t>http://www.transferalberta.alberta.ca</w:t>
        </w:r>
      </w:hyperlink>
      <w:r w:rsidRPr="00C86C6F">
        <w:rPr>
          <w:rFonts w:ascii="Gilroy-Regular" w:hAnsi="Gilroy-Regular" w:cs="Times New Roman"/>
        </w:rPr>
        <w:t>.</w:t>
      </w:r>
    </w:p>
    <w:p w14:paraId="0795080C" w14:textId="77777777" w:rsidR="00C5636D" w:rsidRPr="00C86C6F" w:rsidRDefault="00C5636D" w:rsidP="00C5636D">
      <w:pPr>
        <w:pStyle w:val="Default"/>
        <w:rPr>
          <w:rFonts w:ascii="Gilroy-Regular" w:hAnsi="Gilroy-Regular" w:cs="Times New Roman"/>
          <w:color w:val="auto"/>
        </w:rPr>
      </w:pPr>
    </w:p>
    <w:p w14:paraId="7B625D91" w14:textId="77777777" w:rsidR="00C5636D" w:rsidRPr="00C86C6F" w:rsidRDefault="00C5636D" w:rsidP="00C5636D">
      <w:pPr>
        <w:pStyle w:val="Default"/>
        <w:rPr>
          <w:rFonts w:ascii="Gilroy-Regular" w:hAnsi="Gilroy-Regular" w:cs="Times New Roman"/>
          <w:color w:val="auto"/>
        </w:rPr>
      </w:pPr>
      <w:r w:rsidRPr="00C86C6F">
        <w:rPr>
          <w:rFonts w:ascii="Gilroy-Regular" w:hAnsi="Gilroy-Regular" w:cs="Times New Roman"/>
          <w:color w:val="auto"/>
        </w:rPr>
        <w:t xml:space="preserve">** Grade of D or D+ may not be acceptable for transfer to other post-secondary institutions. </w:t>
      </w:r>
      <w:r w:rsidRPr="00C86C6F">
        <w:rPr>
          <w:rFonts w:ascii="Gilroy-Regular" w:hAnsi="Gilroy-Regular" w:cs="Times New Roman"/>
          <w:b/>
          <w:bCs/>
          <w:color w:val="auto"/>
        </w:rPr>
        <w:t xml:space="preserve">Students are cautioned that it is their responsibility to contact the receiving institutions to ensure </w:t>
      </w:r>
      <w:proofErr w:type="gramStart"/>
      <w:r w:rsidRPr="00C86C6F">
        <w:rPr>
          <w:rFonts w:ascii="Gilroy-Regular" w:hAnsi="Gilroy-Regular" w:cs="Times New Roman"/>
          <w:b/>
          <w:bCs/>
          <w:color w:val="auto"/>
        </w:rPr>
        <w:t>transferability</w:t>
      </w:r>
      <w:proofErr w:type="gramEnd"/>
    </w:p>
    <w:p w14:paraId="07AC8023" w14:textId="77777777" w:rsidR="00C5636D" w:rsidRPr="00C86C6F" w:rsidRDefault="00C5636D" w:rsidP="00C5636D">
      <w:pPr>
        <w:rPr>
          <w:rFonts w:ascii="Gilroy-Regular" w:hAnsi="Gilroy-Regular"/>
          <w:b/>
          <w:u w:val="single"/>
        </w:rPr>
      </w:pPr>
    </w:p>
    <w:p w14:paraId="7FBC66F3" w14:textId="77777777" w:rsidR="00C5636D" w:rsidRPr="00C86C6F" w:rsidRDefault="00C5636D" w:rsidP="00C5636D">
      <w:pPr>
        <w:pStyle w:val="Heading2"/>
        <w:spacing w:before="0"/>
        <w:rPr>
          <w:rFonts w:ascii="Gilroy-Regular" w:hAnsi="Gilroy-Regular"/>
          <w:b/>
          <w:sz w:val="24"/>
        </w:rPr>
      </w:pPr>
      <w:r w:rsidRPr="00C86C6F">
        <w:rPr>
          <w:rFonts w:ascii="Gilroy-Regular" w:hAnsi="Gilroy-Regular"/>
          <w:b/>
          <w:sz w:val="24"/>
        </w:rPr>
        <w:t>EVALUATIONS:</w:t>
      </w:r>
    </w:p>
    <w:p w14:paraId="79C666DE" w14:textId="77777777" w:rsidR="00C5636D" w:rsidRPr="00C86C6F" w:rsidRDefault="00C5636D" w:rsidP="00C5636D">
      <w:pPr>
        <w:pStyle w:val="Heading2"/>
        <w:spacing w:before="0"/>
        <w:rPr>
          <w:rFonts w:ascii="Gilroy-Regular" w:hAnsi="Gilroy-Regular"/>
          <w:b/>
          <w:sz w:val="24"/>
        </w:rPr>
      </w:pPr>
    </w:p>
    <w:p w14:paraId="0E8C67C9" w14:textId="77777777" w:rsidR="00C86C6F" w:rsidRPr="00C86C6F" w:rsidRDefault="00C5636D" w:rsidP="00C86C6F">
      <w:pPr>
        <w:pStyle w:val="Heading2"/>
        <w:spacing w:before="0" w:line="240" w:lineRule="auto"/>
        <w:rPr>
          <w:rFonts w:ascii="Gilroy-Regular" w:hAnsi="Gilroy-Regular"/>
          <w:sz w:val="24"/>
        </w:rPr>
      </w:pPr>
      <w:r w:rsidRPr="00C86C6F">
        <w:rPr>
          <w:rFonts w:ascii="Gilroy-Regular" w:hAnsi="Gilroy-Regular"/>
          <w:b/>
          <w:sz w:val="24"/>
        </w:rPr>
        <w:t xml:space="preserve">GRADING CRITERIA </w:t>
      </w:r>
      <w:r w:rsidRPr="00C86C6F">
        <w:rPr>
          <w:rFonts w:ascii="Gilroy-Regular" w:hAnsi="Gilroy-Regular"/>
          <w:b/>
          <w:sz w:val="24"/>
          <w:highlight w:val="yellow"/>
        </w:rPr>
        <w:t>(select the appropriate chart below based on the grading type for this specific course</w:t>
      </w:r>
      <w:r w:rsidRPr="00C86C6F">
        <w:rPr>
          <w:rFonts w:ascii="Gilroy-Regular" w:hAnsi="Gilroy-Regular"/>
          <w:b/>
          <w:sz w:val="24"/>
        </w:rPr>
        <w:t>):</w:t>
      </w:r>
      <w:r w:rsidRPr="00C86C6F">
        <w:rPr>
          <w:rFonts w:ascii="Gilroy-Regular" w:hAnsi="Gilroy-Regular"/>
          <w:b/>
          <w:sz w:val="24"/>
        </w:rPr>
        <w:br/>
      </w:r>
    </w:p>
    <w:p w14:paraId="09BDC039" w14:textId="4AB14AB9" w:rsidR="00C5636D" w:rsidRPr="00C86C6F" w:rsidRDefault="00C5636D" w:rsidP="00C86C6F">
      <w:pPr>
        <w:pStyle w:val="Heading2"/>
        <w:spacing w:before="0" w:line="240" w:lineRule="auto"/>
        <w:rPr>
          <w:rFonts w:ascii="Gilroy-Regular" w:hAnsi="Gilroy-Regular"/>
          <w:sz w:val="24"/>
        </w:rPr>
      </w:pPr>
      <w:r w:rsidRPr="00C86C6F">
        <w:rPr>
          <w:rFonts w:ascii="Gilroy-Regular" w:hAnsi="Gilroy-Regular"/>
          <w:sz w:val="24"/>
        </w:rPr>
        <w:t xml:space="preserve">Please note that most universities will not accept your course for transfer credit </w:t>
      </w:r>
      <w:r w:rsidRPr="00C86C6F">
        <w:rPr>
          <w:rFonts w:ascii="Gilroy-Regular" w:hAnsi="Gilroy-Regular"/>
          <w:b/>
          <w:sz w:val="24"/>
        </w:rPr>
        <w:t>IF</w:t>
      </w:r>
      <w:r w:rsidRPr="00C86C6F">
        <w:rPr>
          <w:rFonts w:ascii="Gilroy-Regular" w:hAnsi="Gilroy-Regular"/>
          <w:sz w:val="24"/>
        </w:rPr>
        <w:t xml:space="preserve"> your grade is </w:t>
      </w:r>
      <w:r w:rsidRPr="00C86C6F">
        <w:rPr>
          <w:rFonts w:ascii="Gilroy-Regular" w:hAnsi="Gilroy-Regular"/>
          <w:b/>
          <w:sz w:val="24"/>
        </w:rPr>
        <w:t>less than C-</w:t>
      </w:r>
      <w:r w:rsidRPr="00C86C6F">
        <w:rPr>
          <w:rFonts w:ascii="Gilroy-Regular" w:hAnsi="Gilroy-Regular"/>
          <w:sz w:val="24"/>
        </w:rPr>
        <w:t xml:space="preserve">. </w:t>
      </w:r>
      <w:r w:rsidRPr="00C86C6F">
        <w:rPr>
          <w:rFonts w:ascii="Gilroy-Regular" w:hAnsi="Gilroy-Regular"/>
          <w:sz w:val="24"/>
        </w:rPr>
        <w:br/>
      </w:r>
    </w:p>
    <w:p w14:paraId="4F83EE39" w14:textId="77777777" w:rsidR="00C5636D" w:rsidRPr="00C86C6F" w:rsidRDefault="00C5636D" w:rsidP="00C5636D">
      <w:pPr>
        <w:rPr>
          <w:rFonts w:ascii="Gilroy-Regular" w:hAnsi="Gilroy-Regular"/>
          <w:b/>
          <w:sz w:val="24"/>
        </w:rPr>
      </w:pPr>
      <w:r w:rsidRPr="00C86C6F">
        <w:rPr>
          <w:rFonts w:ascii="Gilroy-Regular" w:hAnsi="Gilroy-Regular"/>
          <w:b/>
          <w:sz w:val="24"/>
          <w:highlight w:val="yellow"/>
        </w:rPr>
        <w:t>Grading Chart for courses with Alpha Grading:</w:t>
      </w:r>
      <w:r w:rsidRPr="00C86C6F">
        <w:rPr>
          <w:rFonts w:ascii="Gilroy-Regular" w:hAnsi="Gilroy-Regular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7"/>
        <w:gridCol w:w="1591"/>
        <w:gridCol w:w="1608"/>
        <w:gridCol w:w="234"/>
        <w:gridCol w:w="1331"/>
        <w:gridCol w:w="1591"/>
        <w:gridCol w:w="1518"/>
      </w:tblGrid>
      <w:tr w:rsidR="00C5636D" w:rsidRPr="00C86C6F" w14:paraId="1F29B574" w14:textId="77777777" w:rsidTr="003639D7">
        <w:tc>
          <w:tcPr>
            <w:tcW w:w="1548" w:type="dxa"/>
            <w:shd w:val="clear" w:color="auto" w:fill="000000" w:themeFill="text1"/>
          </w:tcPr>
          <w:p w14:paraId="1356DE4C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color w:val="FFFFFF" w:themeColor="background1"/>
                <w:sz w:val="24"/>
              </w:rPr>
            </w:pPr>
            <w:r w:rsidRPr="00C86C6F">
              <w:rPr>
                <w:rFonts w:ascii="Gilroy-Regular" w:hAnsi="Gilroy-Regular"/>
                <w:b/>
                <w:bCs/>
                <w:color w:val="FFFFFF" w:themeColor="background1"/>
                <w:sz w:val="24"/>
              </w:rPr>
              <w:t>Alpha Grade</w:t>
            </w:r>
          </w:p>
        </w:tc>
        <w:tc>
          <w:tcPr>
            <w:tcW w:w="1620" w:type="dxa"/>
            <w:shd w:val="clear" w:color="auto" w:fill="000000" w:themeFill="text1"/>
          </w:tcPr>
          <w:p w14:paraId="069AB812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color w:val="FFFFFF" w:themeColor="background1"/>
                <w:sz w:val="24"/>
              </w:rPr>
            </w:pPr>
            <w:r w:rsidRPr="00C86C6F">
              <w:rPr>
                <w:rFonts w:ascii="Gilroy-Regular" w:hAnsi="Gilroy-Regular"/>
                <w:b/>
                <w:bCs/>
                <w:color w:val="FFFFFF" w:themeColor="background1"/>
                <w:sz w:val="24"/>
              </w:rPr>
              <w:t>4-point Equivalent</w:t>
            </w:r>
          </w:p>
        </w:tc>
        <w:tc>
          <w:tcPr>
            <w:tcW w:w="1620" w:type="dxa"/>
            <w:shd w:val="clear" w:color="auto" w:fill="000000" w:themeFill="text1"/>
          </w:tcPr>
          <w:p w14:paraId="78942F53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color w:val="FFFFFF" w:themeColor="background1"/>
                <w:sz w:val="24"/>
              </w:rPr>
            </w:pPr>
            <w:r w:rsidRPr="00C86C6F">
              <w:rPr>
                <w:rFonts w:ascii="Gilroy-Regular" w:hAnsi="Gilroy-Regular"/>
                <w:b/>
                <w:bCs/>
                <w:color w:val="FFFFFF" w:themeColor="background1"/>
                <w:sz w:val="24"/>
              </w:rPr>
              <w:t>Percentage Guidelines</w:t>
            </w:r>
          </w:p>
        </w:tc>
        <w:tc>
          <w:tcPr>
            <w:tcW w:w="236" w:type="dxa"/>
            <w:shd w:val="clear" w:color="auto" w:fill="000000" w:themeFill="text1"/>
          </w:tcPr>
          <w:p w14:paraId="67E88A79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color w:val="FFFFFF" w:themeColor="background1"/>
                <w:sz w:val="24"/>
              </w:rPr>
            </w:pPr>
          </w:p>
        </w:tc>
        <w:tc>
          <w:tcPr>
            <w:tcW w:w="1384" w:type="dxa"/>
            <w:shd w:val="clear" w:color="auto" w:fill="000000" w:themeFill="text1"/>
          </w:tcPr>
          <w:p w14:paraId="5F151F98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color w:val="FFFFFF" w:themeColor="background1"/>
                <w:sz w:val="24"/>
              </w:rPr>
            </w:pPr>
            <w:r w:rsidRPr="00C86C6F">
              <w:rPr>
                <w:rFonts w:ascii="Gilroy-Regular" w:hAnsi="Gilroy-Regular"/>
                <w:b/>
                <w:bCs/>
                <w:color w:val="FFFFFF" w:themeColor="background1"/>
                <w:sz w:val="24"/>
              </w:rPr>
              <w:t>Alpha Grade</w:t>
            </w:r>
          </w:p>
        </w:tc>
        <w:tc>
          <w:tcPr>
            <w:tcW w:w="1620" w:type="dxa"/>
            <w:shd w:val="clear" w:color="auto" w:fill="000000" w:themeFill="text1"/>
          </w:tcPr>
          <w:p w14:paraId="4869E9AD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color w:val="FFFFFF" w:themeColor="background1"/>
                <w:sz w:val="24"/>
              </w:rPr>
            </w:pPr>
            <w:r w:rsidRPr="00C86C6F">
              <w:rPr>
                <w:rFonts w:ascii="Gilroy-Regular" w:hAnsi="Gilroy-Regular"/>
                <w:b/>
                <w:bCs/>
                <w:color w:val="FFFFFF" w:themeColor="background1"/>
                <w:sz w:val="24"/>
              </w:rPr>
              <w:t>4-point Equivalent</w:t>
            </w:r>
          </w:p>
        </w:tc>
        <w:tc>
          <w:tcPr>
            <w:tcW w:w="1440" w:type="dxa"/>
            <w:shd w:val="clear" w:color="auto" w:fill="000000" w:themeFill="text1"/>
          </w:tcPr>
          <w:p w14:paraId="22367B6C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color w:val="FFFFFF" w:themeColor="background1"/>
                <w:sz w:val="24"/>
              </w:rPr>
            </w:pPr>
            <w:r w:rsidRPr="00C86C6F">
              <w:rPr>
                <w:rFonts w:ascii="Gilroy-Regular" w:hAnsi="Gilroy-Regular"/>
                <w:b/>
                <w:bCs/>
                <w:color w:val="FFFFFF" w:themeColor="background1"/>
                <w:sz w:val="24"/>
              </w:rPr>
              <w:t>Percentage Guidelines</w:t>
            </w:r>
          </w:p>
        </w:tc>
      </w:tr>
      <w:tr w:rsidR="00C5636D" w:rsidRPr="00C86C6F" w14:paraId="317F2573" w14:textId="77777777" w:rsidTr="003639D7">
        <w:tc>
          <w:tcPr>
            <w:tcW w:w="1548" w:type="dxa"/>
          </w:tcPr>
          <w:p w14:paraId="1E22E71A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A+</w:t>
            </w:r>
          </w:p>
        </w:tc>
        <w:tc>
          <w:tcPr>
            <w:tcW w:w="1620" w:type="dxa"/>
          </w:tcPr>
          <w:p w14:paraId="3C08A09F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4.0</w:t>
            </w:r>
          </w:p>
        </w:tc>
        <w:tc>
          <w:tcPr>
            <w:tcW w:w="1620" w:type="dxa"/>
          </w:tcPr>
          <w:p w14:paraId="3206B4E0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95-100</w:t>
            </w:r>
          </w:p>
        </w:tc>
        <w:tc>
          <w:tcPr>
            <w:tcW w:w="236" w:type="dxa"/>
            <w:shd w:val="pct50" w:color="auto" w:fill="auto"/>
          </w:tcPr>
          <w:p w14:paraId="4655C94B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</w:p>
        </w:tc>
        <w:tc>
          <w:tcPr>
            <w:tcW w:w="1384" w:type="dxa"/>
          </w:tcPr>
          <w:p w14:paraId="64182CDE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C+</w:t>
            </w:r>
          </w:p>
        </w:tc>
        <w:tc>
          <w:tcPr>
            <w:tcW w:w="1620" w:type="dxa"/>
          </w:tcPr>
          <w:p w14:paraId="0E7E2CB3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2.3</w:t>
            </w:r>
          </w:p>
        </w:tc>
        <w:tc>
          <w:tcPr>
            <w:tcW w:w="1440" w:type="dxa"/>
          </w:tcPr>
          <w:p w14:paraId="19857FA9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67-69</w:t>
            </w:r>
          </w:p>
        </w:tc>
      </w:tr>
      <w:tr w:rsidR="00C5636D" w:rsidRPr="00C86C6F" w14:paraId="5D42D17C" w14:textId="77777777" w:rsidTr="003639D7">
        <w:tc>
          <w:tcPr>
            <w:tcW w:w="1548" w:type="dxa"/>
          </w:tcPr>
          <w:p w14:paraId="75CC8950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A</w:t>
            </w:r>
          </w:p>
        </w:tc>
        <w:tc>
          <w:tcPr>
            <w:tcW w:w="1620" w:type="dxa"/>
          </w:tcPr>
          <w:p w14:paraId="42BCA86A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4.0</w:t>
            </w:r>
          </w:p>
        </w:tc>
        <w:tc>
          <w:tcPr>
            <w:tcW w:w="1620" w:type="dxa"/>
          </w:tcPr>
          <w:p w14:paraId="5A95C924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85-94</w:t>
            </w:r>
          </w:p>
        </w:tc>
        <w:tc>
          <w:tcPr>
            <w:tcW w:w="236" w:type="dxa"/>
            <w:shd w:val="pct50" w:color="auto" w:fill="auto"/>
          </w:tcPr>
          <w:p w14:paraId="3F5253BA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</w:p>
        </w:tc>
        <w:tc>
          <w:tcPr>
            <w:tcW w:w="1384" w:type="dxa"/>
          </w:tcPr>
          <w:p w14:paraId="5462E4C1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C</w:t>
            </w:r>
          </w:p>
        </w:tc>
        <w:tc>
          <w:tcPr>
            <w:tcW w:w="1620" w:type="dxa"/>
          </w:tcPr>
          <w:p w14:paraId="70EEA650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2.0</w:t>
            </w:r>
          </w:p>
        </w:tc>
        <w:tc>
          <w:tcPr>
            <w:tcW w:w="1440" w:type="dxa"/>
          </w:tcPr>
          <w:p w14:paraId="0E6F41FA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63-66</w:t>
            </w:r>
          </w:p>
        </w:tc>
      </w:tr>
      <w:tr w:rsidR="00C5636D" w:rsidRPr="00C86C6F" w14:paraId="5BFB2F98" w14:textId="77777777" w:rsidTr="003639D7">
        <w:tc>
          <w:tcPr>
            <w:tcW w:w="1548" w:type="dxa"/>
          </w:tcPr>
          <w:p w14:paraId="676B6EB1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A-</w:t>
            </w:r>
          </w:p>
        </w:tc>
        <w:tc>
          <w:tcPr>
            <w:tcW w:w="1620" w:type="dxa"/>
          </w:tcPr>
          <w:p w14:paraId="1F8264AE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3.7</w:t>
            </w:r>
          </w:p>
        </w:tc>
        <w:tc>
          <w:tcPr>
            <w:tcW w:w="1620" w:type="dxa"/>
          </w:tcPr>
          <w:p w14:paraId="685D1BA9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80-84</w:t>
            </w:r>
          </w:p>
        </w:tc>
        <w:tc>
          <w:tcPr>
            <w:tcW w:w="236" w:type="dxa"/>
            <w:shd w:val="pct50" w:color="auto" w:fill="auto"/>
          </w:tcPr>
          <w:p w14:paraId="56FB01ED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14:paraId="7685D1A3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C-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06C853AD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1.7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E3ED842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60-62</w:t>
            </w:r>
          </w:p>
        </w:tc>
      </w:tr>
      <w:tr w:rsidR="00C5636D" w:rsidRPr="00C86C6F" w14:paraId="64E79B37" w14:textId="77777777" w:rsidTr="003639D7">
        <w:tc>
          <w:tcPr>
            <w:tcW w:w="1548" w:type="dxa"/>
          </w:tcPr>
          <w:p w14:paraId="4E5DCF55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B+</w:t>
            </w:r>
          </w:p>
        </w:tc>
        <w:tc>
          <w:tcPr>
            <w:tcW w:w="1620" w:type="dxa"/>
          </w:tcPr>
          <w:p w14:paraId="7FE7C60B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3.3</w:t>
            </w:r>
          </w:p>
        </w:tc>
        <w:tc>
          <w:tcPr>
            <w:tcW w:w="1620" w:type="dxa"/>
          </w:tcPr>
          <w:p w14:paraId="79A58FD9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77-79</w:t>
            </w:r>
          </w:p>
        </w:tc>
        <w:tc>
          <w:tcPr>
            <w:tcW w:w="236" w:type="dxa"/>
            <w:shd w:val="pct50" w:color="auto" w:fill="auto"/>
          </w:tcPr>
          <w:p w14:paraId="5F8C81C6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</w:p>
        </w:tc>
        <w:tc>
          <w:tcPr>
            <w:tcW w:w="1384" w:type="dxa"/>
            <w:shd w:val="pct15" w:color="auto" w:fill="auto"/>
          </w:tcPr>
          <w:p w14:paraId="2C5B7235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D+</w:t>
            </w:r>
          </w:p>
        </w:tc>
        <w:tc>
          <w:tcPr>
            <w:tcW w:w="1620" w:type="dxa"/>
            <w:shd w:val="pct15" w:color="auto" w:fill="auto"/>
          </w:tcPr>
          <w:p w14:paraId="4B391699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1.3</w:t>
            </w:r>
          </w:p>
        </w:tc>
        <w:tc>
          <w:tcPr>
            <w:tcW w:w="1440" w:type="dxa"/>
            <w:shd w:val="pct15" w:color="auto" w:fill="auto"/>
          </w:tcPr>
          <w:p w14:paraId="6824C006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55-59</w:t>
            </w:r>
          </w:p>
        </w:tc>
      </w:tr>
      <w:tr w:rsidR="00C5636D" w:rsidRPr="00C86C6F" w14:paraId="66BE2F8C" w14:textId="77777777" w:rsidTr="003639D7">
        <w:tc>
          <w:tcPr>
            <w:tcW w:w="1548" w:type="dxa"/>
          </w:tcPr>
          <w:p w14:paraId="243A828C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B</w:t>
            </w:r>
          </w:p>
        </w:tc>
        <w:tc>
          <w:tcPr>
            <w:tcW w:w="1620" w:type="dxa"/>
          </w:tcPr>
          <w:p w14:paraId="73AEE81C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3.0</w:t>
            </w:r>
          </w:p>
        </w:tc>
        <w:tc>
          <w:tcPr>
            <w:tcW w:w="1620" w:type="dxa"/>
          </w:tcPr>
          <w:p w14:paraId="180B5D4E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73-76</w:t>
            </w:r>
          </w:p>
        </w:tc>
        <w:tc>
          <w:tcPr>
            <w:tcW w:w="236" w:type="dxa"/>
            <w:shd w:val="pct50" w:color="auto" w:fill="auto"/>
          </w:tcPr>
          <w:p w14:paraId="070738CE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</w:p>
        </w:tc>
        <w:tc>
          <w:tcPr>
            <w:tcW w:w="1384" w:type="dxa"/>
            <w:shd w:val="pct15" w:color="auto" w:fill="auto"/>
          </w:tcPr>
          <w:p w14:paraId="3B1AE48B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D</w:t>
            </w:r>
          </w:p>
        </w:tc>
        <w:tc>
          <w:tcPr>
            <w:tcW w:w="1620" w:type="dxa"/>
            <w:shd w:val="pct15" w:color="auto" w:fill="auto"/>
          </w:tcPr>
          <w:p w14:paraId="11BE7AB2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1.0</w:t>
            </w:r>
          </w:p>
        </w:tc>
        <w:tc>
          <w:tcPr>
            <w:tcW w:w="1440" w:type="dxa"/>
            <w:shd w:val="pct15" w:color="auto" w:fill="auto"/>
          </w:tcPr>
          <w:p w14:paraId="5375BC1B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50-54</w:t>
            </w:r>
          </w:p>
        </w:tc>
      </w:tr>
      <w:tr w:rsidR="00C5636D" w:rsidRPr="00C86C6F" w14:paraId="3818EB7C" w14:textId="77777777" w:rsidTr="003639D7">
        <w:tc>
          <w:tcPr>
            <w:tcW w:w="1548" w:type="dxa"/>
          </w:tcPr>
          <w:p w14:paraId="29330299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B-</w:t>
            </w:r>
          </w:p>
        </w:tc>
        <w:tc>
          <w:tcPr>
            <w:tcW w:w="1620" w:type="dxa"/>
          </w:tcPr>
          <w:p w14:paraId="24F78146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2.7</w:t>
            </w:r>
          </w:p>
        </w:tc>
        <w:tc>
          <w:tcPr>
            <w:tcW w:w="1620" w:type="dxa"/>
          </w:tcPr>
          <w:p w14:paraId="46271E2A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70-72</w:t>
            </w:r>
          </w:p>
        </w:tc>
        <w:tc>
          <w:tcPr>
            <w:tcW w:w="236" w:type="dxa"/>
            <w:shd w:val="pct50" w:color="auto" w:fill="auto"/>
          </w:tcPr>
          <w:p w14:paraId="65BD12E3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</w:p>
        </w:tc>
        <w:tc>
          <w:tcPr>
            <w:tcW w:w="1384" w:type="dxa"/>
            <w:shd w:val="pct15" w:color="auto" w:fill="auto"/>
          </w:tcPr>
          <w:p w14:paraId="218A824E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F</w:t>
            </w:r>
          </w:p>
        </w:tc>
        <w:tc>
          <w:tcPr>
            <w:tcW w:w="1620" w:type="dxa"/>
            <w:shd w:val="pct15" w:color="auto" w:fill="auto"/>
          </w:tcPr>
          <w:p w14:paraId="59B5BD21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0.0</w:t>
            </w:r>
          </w:p>
        </w:tc>
        <w:tc>
          <w:tcPr>
            <w:tcW w:w="1440" w:type="dxa"/>
            <w:shd w:val="pct15" w:color="auto" w:fill="auto"/>
          </w:tcPr>
          <w:p w14:paraId="2C25902D" w14:textId="77777777" w:rsidR="00C5636D" w:rsidRPr="00C86C6F" w:rsidRDefault="00C5636D" w:rsidP="003639D7">
            <w:pPr>
              <w:jc w:val="center"/>
              <w:rPr>
                <w:rFonts w:ascii="Gilroy-Regular" w:hAnsi="Gilroy-Regular"/>
                <w:sz w:val="24"/>
              </w:rPr>
            </w:pPr>
            <w:r w:rsidRPr="00C86C6F">
              <w:rPr>
                <w:rFonts w:ascii="Gilroy-Regular" w:hAnsi="Gilroy-Regular"/>
                <w:sz w:val="24"/>
              </w:rPr>
              <w:t>00-49</w:t>
            </w:r>
          </w:p>
        </w:tc>
      </w:tr>
    </w:tbl>
    <w:p w14:paraId="2F0EC56C" w14:textId="77777777" w:rsidR="00C5636D" w:rsidRPr="00C86C6F" w:rsidRDefault="00C5636D" w:rsidP="00C5636D">
      <w:pPr>
        <w:rPr>
          <w:rFonts w:ascii="Gilroy-Regular" w:hAnsi="Gilroy-Regular"/>
          <w:sz w:val="24"/>
        </w:rPr>
      </w:pPr>
    </w:p>
    <w:p w14:paraId="64B87DC0" w14:textId="77777777" w:rsidR="00C5636D" w:rsidRPr="00C86C6F" w:rsidRDefault="00C5636D" w:rsidP="00C5636D">
      <w:pPr>
        <w:rPr>
          <w:rFonts w:ascii="Gilroy-Regular" w:hAnsi="Gilroy-Regular"/>
          <w:b/>
          <w:bCs/>
          <w:sz w:val="24"/>
        </w:rPr>
      </w:pPr>
      <w:r w:rsidRPr="00C86C6F">
        <w:rPr>
          <w:rFonts w:ascii="Gilroy-Regular" w:hAnsi="Gilroy-Regular"/>
          <w:b/>
          <w:bCs/>
          <w:sz w:val="24"/>
          <w:highlight w:val="yellow"/>
        </w:rPr>
        <w:t>OR Grading Chart for courses with Pass/Fail Grading: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89"/>
        <w:gridCol w:w="1552"/>
        <w:gridCol w:w="4029"/>
        <w:gridCol w:w="1685"/>
      </w:tblGrid>
      <w:tr w:rsidR="00C5636D" w:rsidRPr="00C86C6F" w14:paraId="5253C1F6" w14:textId="77777777" w:rsidTr="003639D7">
        <w:tc>
          <w:tcPr>
            <w:tcW w:w="2127" w:type="dxa"/>
            <w:shd w:val="clear" w:color="auto" w:fill="000000" w:themeFill="text1"/>
            <w:vAlign w:val="center"/>
          </w:tcPr>
          <w:p w14:paraId="14BD0D76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b/>
                <w:color w:val="FFFFFF" w:themeColor="background1"/>
                <w:szCs w:val="20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Cs w:val="20"/>
              </w:rPr>
              <w:t>Alpha Grade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33BA321F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color w:val="FFFFFF" w:themeColor="background1"/>
                <w:szCs w:val="20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Cs w:val="20"/>
              </w:rPr>
              <w:t xml:space="preserve">4-Point </w:t>
            </w:r>
            <w:r w:rsidRPr="00C86C6F">
              <w:rPr>
                <w:rFonts w:ascii="Gilroy-Regular" w:hAnsi="Gilroy-Regular"/>
                <w:b/>
                <w:color w:val="FFFFFF" w:themeColor="background1"/>
                <w:szCs w:val="20"/>
              </w:rPr>
              <w:br/>
              <w:t>Equivalence</w:t>
            </w:r>
          </w:p>
        </w:tc>
        <w:tc>
          <w:tcPr>
            <w:tcW w:w="4111" w:type="dxa"/>
            <w:shd w:val="clear" w:color="auto" w:fill="000000" w:themeFill="text1"/>
          </w:tcPr>
          <w:p w14:paraId="0921A954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color w:val="FFFFFF" w:themeColor="background1"/>
                <w:szCs w:val="20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Cs w:val="20"/>
              </w:rPr>
              <w:t xml:space="preserve">Percentage Conversion </w:t>
            </w:r>
            <w:r w:rsidRPr="00C86C6F">
              <w:rPr>
                <w:rFonts w:ascii="Gilroy-Regular" w:hAnsi="Gilroy-Regular"/>
                <w:b/>
                <w:color w:val="FFFFFF" w:themeColor="background1"/>
                <w:szCs w:val="20"/>
              </w:rPr>
              <w:br/>
            </w:r>
            <w:r w:rsidRPr="00C86C6F">
              <w:rPr>
                <w:rFonts w:ascii="Gilroy-Regular" w:hAnsi="Gilroy-Regular"/>
                <w:b/>
                <w:color w:val="FFFFFF" w:themeColor="background1"/>
                <w:sz w:val="16"/>
                <w:szCs w:val="16"/>
              </w:rPr>
              <w:t>(unless otherwise specified in the Course Outline)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6B69BBBA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color w:val="FFFFFF" w:themeColor="background1"/>
                <w:szCs w:val="20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Cs w:val="20"/>
              </w:rPr>
              <w:t>Descriptor</w:t>
            </w:r>
          </w:p>
        </w:tc>
      </w:tr>
      <w:tr w:rsidR="00C5636D" w:rsidRPr="00C86C6F" w14:paraId="719DED3D" w14:textId="77777777" w:rsidTr="003639D7">
        <w:tc>
          <w:tcPr>
            <w:tcW w:w="2127" w:type="dxa"/>
          </w:tcPr>
          <w:p w14:paraId="7244C9B7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szCs w:val="20"/>
              </w:rPr>
              <w:t>P</w:t>
            </w:r>
          </w:p>
        </w:tc>
        <w:tc>
          <w:tcPr>
            <w:tcW w:w="1559" w:type="dxa"/>
          </w:tcPr>
          <w:p w14:paraId="53FB5908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szCs w:val="20"/>
              </w:rPr>
              <w:t>N/A</w:t>
            </w:r>
          </w:p>
        </w:tc>
        <w:tc>
          <w:tcPr>
            <w:tcW w:w="4111" w:type="dxa"/>
          </w:tcPr>
          <w:p w14:paraId="6C9362F1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szCs w:val="20"/>
              </w:rPr>
              <w:t>50-100</w:t>
            </w:r>
          </w:p>
        </w:tc>
        <w:tc>
          <w:tcPr>
            <w:tcW w:w="1701" w:type="dxa"/>
          </w:tcPr>
          <w:p w14:paraId="6D47ABFD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szCs w:val="20"/>
              </w:rPr>
              <w:t>Pass</w:t>
            </w:r>
          </w:p>
        </w:tc>
      </w:tr>
      <w:tr w:rsidR="00C5636D" w:rsidRPr="00C86C6F" w14:paraId="7F659F39" w14:textId="77777777" w:rsidTr="003639D7">
        <w:tc>
          <w:tcPr>
            <w:tcW w:w="2127" w:type="dxa"/>
          </w:tcPr>
          <w:p w14:paraId="52A31F64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szCs w:val="20"/>
              </w:rPr>
              <w:t>F</w:t>
            </w:r>
          </w:p>
        </w:tc>
        <w:tc>
          <w:tcPr>
            <w:tcW w:w="1559" w:type="dxa"/>
          </w:tcPr>
          <w:p w14:paraId="56F81E43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szCs w:val="20"/>
              </w:rPr>
              <w:t>N/A</w:t>
            </w:r>
          </w:p>
        </w:tc>
        <w:tc>
          <w:tcPr>
            <w:tcW w:w="4111" w:type="dxa"/>
          </w:tcPr>
          <w:p w14:paraId="07ADCF81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szCs w:val="20"/>
              </w:rPr>
              <w:t>0-49</w:t>
            </w:r>
          </w:p>
        </w:tc>
        <w:tc>
          <w:tcPr>
            <w:tcW w:w="1701" w:type="dxa"/>
          </w:tcPr>
          <w:p w14:paraId="31FE2F34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szCs w:val="20"/>
              </w:rPr>
              <w:t>Fail</w:t>
            </w:r>
          </w:p>
        </w:tc>
      </w:tr>
    </w:tbl>
    <w:p w14:paraId="789A5CE4" w14:textId="77777777" w:rsidR="00C5636D" w:rsidRPr="00C86C6F" w:rsidRDefault="00C5636D" w:rsidP="00C5636D">
      <w:pPr>
        <w:rPr>
          <w:rFonts w:ascii="Gilroy-Regular" w:hAnsi="Gilroy-Regular"/>
          <w:sz w:val="24"/>
        </w:rPr>
      </w:pPr>
    </w:p>
    <w:p w14:paraId="3EBB6EE5" w14:textId="77777777" w:rsidR="00C86C6F" w:rsidRPr="00C86C6F" w:rsidRDefault="00C86C6F" w:rsidP="00C5636D">
      <w:pPr>
        <w:rPr>
          <w:rFonts w:ascii="Gilroy-Regular" w:hAnsi="Gilroy-Regular"/>
          <w:sz w:val="24"/>
        </w:rPr>
      </w:pPr>
    </w:p>
    <w:p w14:paraId="2E98E597" w14:textId="77777777" w:rsidR="00C86C6F" w:rsidRPr="00C86C6F" w:rsidRDefault="00C86C6F" w:rsidP="00C5636D">
      <w:pPr>
        <w:rPr>
          <w:rFonts w:ascii="Gilroy-Regular" w:hAnsi="Gilroy-Regular"/>
          <w:sz w:val="24"/>
        </w:rPr>
      </w:pPr>
    </w:p>
    <w:p w14:paraId="09586A79" w14:textId="77777777" w:rsidR="00C86C6F" w:rsidRPr="00C86C6F" w:rsidRDefault="00C86C6F" w:rsidP="00C5636D">
      <w:pPr>
        <w:rPr>
          <w:rFonts w:ascii="Gilroy-Regular" w:hAnsi="Gilroy-Regular"/>
          <w:sz w:val="24"/>
        </w:rPr>
      </w:pPr>
    </w:p>
    <w:p w14:paraId="54EA9B86" w14:textId="77777777" w:rsidR="00C5636D" w:rsidRPr="00C86C6F" w:rsidRDefault="00C5636D" w:rsidP="00C5636D">
      <w:pPr>
        <w:rPr>
          <w:rFonts w:ascii="Gilroy-Regular" w:hAnsi="Gilroy-Regular"/>
          <w:b/>
          <w:bCs/>
          <w:sz w:val="24"/>
        </w:rPr>
      </w:pPr>
      <w:r w:rsidRPr="00C86C6F">
        <w:rPr>
          <w:rFonts w:ascii="Gilroy-Regular" w:hAnsi="Gilroy-Regular"/>
          <w:b/>
          <w:bCs/>
          <w:sz w:val="24"/>
          <w:highlight w:val="yellow"/>
        </w:rPr>
        <w:t>OR Grading Chart for course with Credit/No Credit Grading: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89"/>
        <w:gridCol w:w="1552"/>
        <w:gridCol w:w="4029"/>
        <w:gridCol w:w="1685"/>
      </w:tblGrid>
      <w:tr w:rsidR="00C5636D" w:rsidRPr="00C86C6F" w14:paraId="6F7C2D2A" w14:textId="77777777" w:rsidTr="003639D7">
        <w:tc>
          <w:tcPr>
            <w:tcW w:w="2127" w:type="dxa"/>
            <w:shd w:val="clear" w:color="auto" w:fill="000000" w:themeFill="text1"/>
            <w:vAlign w:val="center"/>
          </w:tcPr>
          <w:p w14:paraId="475D57E5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Cs w:val="20"/>
              </w:rPr>
              <w:t>Alpha Grade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6301BB77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Cs w:val="20"/>
              </w:rPr>
              <w:t xml:space="preserve">4-Point </w:t>
            </w:r>
            <w:r w:rsidRPr="00C86C6F">
              <w:rPr>
                <w:rFonts w:ascii="Gilroy-Regular" w:hAnsi="Gilroy-Regular"/>
                <w:b/>
                <w:color w:val="FFFFFF" w:themeColor="background1"/>
                <w:szCs w:val="20"/>
              </w:rPr>
              <w:br/>
              <w:t>Equivalence</w:t>
            </w:r>
          </w:p>
        </w:tc>
        <w:tc>
          <w:tcPr>
            <w:tcW w:w="4111" w:type="dxa"/>
            <w:shd w:val="clear" w:color="auto" w:fill="000000" w:themeFill="text1"/>
          </w:tcPr>
          <w:p w14:paraId="5481A4D0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Cs w:val="20"/>
              </w:rPr>
              <w:t xml:space="preserve">Percentage Conversion </w:t>
            </w:r>
            <w:r w:rsidRPr="00C86C6F">
              <w:rPr>
                <w:rFonts w:ascii="Gilroy-Regular" w:hAnsi="Gilroy-Regular"/>
                <w:b/>
                <w:color w:val="FFFFFF" w:themeColor="background1"/>
                <w:szCs w:val="20"/>
              </w:rPr>
              <w:br/>
            </w:r>
            <w:r w:rsidRPr="00C86C6F">
              <w:rPr>
                <w:rFonts w:ascii="Gilroy-Regular" w:hAnsi="Gilroy-Regular"/>
                <w:b/>
                <w:color w:val="FFFFFF" w:themeColor="background1"/>
                <w:sz w:val="16"/>
                <w:szCs w:val="16"/>
              </w:rPr>
              <w:t>(unless otherwise specified in the Course Outline)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0C9C9E93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b/>
                <w:color w:val="FFFFFF" w:themeColor="background1"/>
                <w:szCs w:val="20"/>
              </w:rPr>
              <w:t>Descriptor</w:t>
            </w:r>
          </w:p>
        </w:tc>
      </w:tr>
      <w:tr w:rsidR="00C5636D" w:rsidRPr="00C86C6F" w14:paraId="1D751E5F" w14:textId="77777777" w:rsidTr="003639D7">
        <w:tc>
          <w:tcPr>
            <w:tcW w:w="2127" w:type="dxa"/>
          </w:tcPr>
          <w:p w14:paraId="09DD9434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szCs w:val="20"/>
              </w:rPr>
              <w:t>CR</w:t>
            </w:r>
          </w:p>
        </w:tc>
        <w:tc>
          <w:tcPr>
            <w:tcW w:w="1559" w:type="dxa"/>
          </w:tcPr>
          <w:p w14:paraId="148B50C1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szCs w:val="20"/>
              </w:rPr>
              <w:t>N/A</w:t>
            </w:r>
          </w:p>
        </w:tc>
        <w:tc>
          <w:tcPr>
            <w:tcW w:w="4111" w:type="dxa"/>
          </w:tcPr>
          <w:p w14:paraId="3FA5C8FD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szCs w:val="20"/>
              </w:rPr>
              <w:t>50-100</w:t>
            </w:r>
          </w:p>
        </w:tc>
        <w:tc>
          <w:tcPr>
            <w:tcW w:w="1701" w:type="dxa"/>
          </w:tcPr>
          <w:p w14:paraId="561C79AF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szCs w:val="20"/>
              </w:rPr>
              <w:t>Credit</w:t>
            </w:r>
          </w:p>
        </w:tc>
      </w:tr>
      <w:tr w:rsidR="00C5636D" w:rsidRPr="00C86C6F" w14:paraId="13FC0A99" w14:textId="77777777" w:rsidTr="003639D7">
        <w:tc>
          <w:tcPr>
            <w:tcW w:w="2127" w:type="dxa"/>
          </w:tcPr>
          <w:p w14:paraId="311AD64A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szCs w:val="20"/>
              </w:rPr>
              <w:t>NC</w:t>
            </w:r>
          </w:p>
        </w:tc>
        <w:tc>
          <w:tcPr>
            <w:tcW w:w="1559" w:type="dxa"/>
          </w:tcPr>
          <w:p w14:paraId="6D9B9C10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szCs w:val="20"/>
              </w:rPr>
              <w:t>N/A</w:t>
            </w:r>
          </w:p>
        </w:tc>
        <w:tc>
          <w:tcPr>
            <w:tcW w:w="4111" w:type="dxa"/>
          </w:tcPr>
          <w:p w14:paraId="05BF0116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szCs w:val="20"/>
              </w:rPr>
              <w:t>0-49</w:t>
            </w:r>
          </w:p>
        </w:tc>
        <w:tc>
          <w:tcPr>
            <w:tcW w:w="1701" w:type="dxa"/>
          </w:tcPr>
          <w:p w14:paraId="0B99526E" w14:textId="77777777" w:rsidR="00C5636D" w:rsidRPr="00C86C6F" w:rsidRDefault="00C5636D" w:rsidP="003639D7">
            <w:pPr>
              <w:spacing w:before="240" w:after="120" w:line="23" w:lineRule="atLeast"/>
              <w:jc w:val="center"/>
              <w:rPr>
                <w:rFonts w:ascii="Gilroy-Regular" w:hAnsi="Gilroy-Regular"/>
                <w:szCs w:val="20"/>
              </w:rPr>
            </w:pPr>
            <w:r w:rsidRPr="00C86C6F">
              <w:rPr>
                <w:rFonts w:ascii="Gilroy-Regular" w:hAnsi="Gilroy-Regular"/>
                <w:szCs w:val="20"/>
              </w:rPr>
              <w:t>No Credit</w:t>
            </w:r>
          </w:p>
        </w:tc>
      </w:tr>
    </w:tbl>
    <w:p w14:paraId="472F51BE" w14:textId="77777777" w:rsidR="00C5636D" w:rsidRPr="00C86C6F" w:rsidRDefault="00C5636D" w:rsidP="00C86C6F">
      <w:pPr>
        <w:spacing w:before="0" w:after="0"/>
        <w:rPr>
          <w:rFonts w:ascii="Gilroy-Regular" w:hAnsi="Gilroy-Regular"/>
          <w:sz w:val="24"/>
        </w:rPr>
      </w:pPr>
    </w:p>
    <w:p w14:paraId="7D5FCEC5" w14:textId="77777777" w:rsidR="00C5636D" w:rsidRPr="00C86C6F" w:rsidRDefault="00C5636D" w:rsidP="00C86C6F">
      <w:pPr>
        <w:spacing w:before="0" w:after="0"/>
        <w:rPr>
          <w:rFonts w:ascii="Gilroy-Regular" w:hAnsi="Gilroy-Regular"/>
          <w:b/>
          <w:bCs/>
          <w:sz w:val="24"/>
        </w:rPr>
      </w:pPr>
      <w:r w:rsidRPr="00C86C6F">
        <w:rPr>
          <w:rFonts w:ascii="Gilroy-Regular" w:hAnsi="Gilroy-Regular"/>
          <w:b/>
          <w:bCs/>
          <w:sz w:val="24"/>
          <w:highlight w:val="yellow"/>
        </w:rPr>
        <w:t>OR For courses with approved percentage grading, the below statement should be included:</w:t>
      </w:r>
      <w:r w:rsidRPr="00C86C6F">
        <w:rPr>
          <w:rFonts w:ascii="Gilroy-Regular" w:hAnsi="Gilroy-Regular"/>
          <w:b/>
          <w:bCs/>
          <w:sz w:val="24"/>
        </w:rPr>
        <w:t xml:space="preserve"> </w:t>
      </w:r>
    </w:p>
    <w:p w14:paraId="5F8C5938" w14:textId="77777777" w:rsidR="00C5636D" w:rsidRPr="00C86C6F" w:rsidRDefault="00C5636D" w:rsidP="00C86C6F">
      <w:pPr>
        <w:spacing w:before="0" w:after="0"/>
        <w:rPr>
          <w:rFonts w:ascii="Gilroy-Regular" w:hAnsi="Gilroy-Regular"/>
          <w:sz w:val="24"/>
        </w:rPr>
      </w:pPr>
    </w:p>
    <w:p w14:paraId="2647AAB6" w14:textId="77777777" w:rsidR="00C5636D" w:rsidRPr="00C86C6F" w:rsidRDefault="00C5636D" w:rsidP="00C86C6F">
      <w:pPr>
        <w:spacing w:before="0" w:after="0"/>
        <w:rPr>
          <w:rFonts w:ascii="Gilroy-Regular" w:hAnsi="Gilroy-Regular"/>
          <w:b/>
          <w:bCs/>
          <w:sz w:val="24"/>
        </w:rPr>
      </w:pPr>
      <w:r w:rsidRPr="00C86C6F">
        <w:rPr>
          <w:rFonts w:ascii="Gilroy-Regular" w:hAnsi="Gilroy-Regular"/>
          <w:b/>
          <w:bCs/>
          <w:sz w:val="24"/>
          <w:highlight w:val="yellow"/>
        </w:rPr>
        <w:t>Grades for this course will be assigned as a percentage.</w:t>
      </w:r>
      <w:r w:rsidRPr="00C86C6F">
        <w:rPr>
          <w:rFonts w:ascii="Gilroy-Regular" w:hAnsi="Gilroy-Regular"/>
          <w:b/>
          <w:bCs/>
          <w:sz w:val="24"/>
        </w:rPr>
        <w:t xml:space="preserve"> </w:t>
      </w:r>
    </w:p>
    <w:p w14:paraId="266CDB24" w14:textId="77777777" w:rsidR="00C5636D" w:rsidRPr="00C86C6F" w:rsidRDefault="00C5636D" w:rsidP="00C86C6F">
      <w:pPr>
        <w:spacing w:before="0" w:after="0"/>
        <w:rPr>
          <w:rFonts w:ascii="Gilroy-Regular" w:hAnsi="Gilroy-Regular"/>
          <w:sz w:val="24"/>
        </w:rPr>
      </w:pPr>
    </w:p>
    <w:p w14:paraId="391FB172" w14:textId="77777777" w:rsidR="00C5636D" w:rsidRPr="00C86C6F" w:rsidRDefault="00C5636D" w:rsidP="00C86C6F">
      <w:pPr>
        <w:pStyle w:val="Heading2"/>
        <w:spacing w:before="0" w:line="240" w:lineRule="auto"/>
        <w:rPr>
          <w:rFonts w:ascii="Gilroy-Regular" w:hAnsi="Gilroy-Regular"/>
          <w:b/>
          <w:sz w:val="24"/>
        </w:rPr>
      </w:pPr>
      <w:r w:rsidRPr="00C86C6F">
        <w:rPr>
          <w:rFonts w:ascii="Gilroy-Regular" w:hAnsi="Gilroy-Regular"/>
          <w:b/>
          <w:sz w:val="24"/>
        </w:rPr>
        <w:t>COURSE SCHEDULE/TENTATIVE TIMELINE:</w:t>
      </w:r>
    </w:p>
    <w:p w14:paraId="0FE73331" w14:textId="77777777" w:rsidR="00C5636D" w:rsidRPr="00C86C6F" w:rsidRDefault="00C5636D" w:rsidP="00C86C6F">
      <w:pPr>
        <w:pStyle w:val="Heading2"/>
        <w:spacing w:before="0"/>
        <w:rPr>
          <w:rFonts w:ascii="Gilroy-Regular" w:hAnsi="Gilroy-Regular"/>
          <w:b/>
          <w:sz w:val="24"/>
        </w:rPr>
      </w:pPr>
    </w:p>
    <w:p w14:paraId="33A38AEF" w14:textId="77777777" w:rsidR="00C5636D" w:rsidRPr="00C86C6F" w:rsidRDefault="00C5636D" w:rsidP="00C86C6F">
      <w:pPr>
        <w:spacing w:before="0" w:after="0"/>
        <w:rPr>
          <w:rFonts w:ascii="Gilroy-Regular" w:hAnsi="Gilroy-Regular"/>
          <w:b/>
          <w:sz w:val="24"/>
        </w:rPr>
      </w:pPr>
      <w:r w:rsidRPr="00C86C6F">
        <w:rPr>
          <w:rFonts w:ascii="Gilroy-Regular" w:hAnsi="Gilroy-Regular"/>
          <w:b/>
          <w:bCs/>
          <w:sz w:val="24"/>
        </w:rPr>
        <w:t>STUDENT RESPONSIBILITIES:</w:t>
      </w:r>
    </w:p>
    <w:p w14:paraId="2415CC24" w14:textId="77777777" w:rsidR="00C5636D" w:rsidRPr="00C86C6F" w:rsidRDefault="00C5636D" w:rsidP="00C86C6F">
      <w:pPr>
        <w:spacing w:before="0" w:after="0"/>
        <w:rPr>
          <w:rFonts w:ascii="Gilroy-Regular" w:hAnsi="Gilroy-Regular"/>
          <w:sz w:val="22"/>
          <w:szCs w:val="22"/>
        </w:rPr>
      </w:pPr>
    </w:p>
    <w:p w14:paraId="73454855" w14:textId="77777777" w:rsidR="00C5636D" w:rsidRPr="00C86C6F" w:rsidRDefault="00C5636D" w:rsidP="00C86C6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/>
        <w:rPr>
          <w:rFonts w:ascii="Gilroy-Regular" w:hAnsi="Gilroy-Regular"/>
          <w:b/>
          <w:sz w:val="24"/>
        </w:rPr>
      </w:pPr>
      <w:r w:rsidRPr="00C86C6F">
        <w:rPr>
          <w:rFonts w:ascii="Gilroy-Regular" w:hAnsi="Gilroy-Regular"/>
          <w:b/>
          <w:sz w:val="24"/>
        </w:rPr>
        <w:t>STATEMENT ON ACADEMIC MISCONDUCT:</w:t>
      </w:r>
    </w:p>
    <w:p w14:paraId="3EB2A243" w14:textId="77777777" w:rsidR="00C86C6F" w:rsidRPr="00C86C6F" w:rsidRDefault="00C86C6F" w:rsidP="00C86C6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 w:line="240" w:lineRule="auto"/>
        <w:rPr>
          <w:rFonts w:ascii="Gilroy-Regular" w:hAnsi="Gilroy-Regular"/>
          <w:b/>
          <w:sz w:val="24"/>
        </w:rPr>
      </w:pPr>
    </w:p>
    <w:p w14:paraId="43F4DB1E" w14:textId="77777777" w:rsidR="00C5636D" w:rsidRPr="00C86C6F" w:rsidRDefault="00C5636D" w:rsidP="00C86C6F">
      <w:pPr>
        <w:autoSpaceDE w:val="0"/>
        <w:autoSpaceDN w:val="0"/>
        <w:adjustRightInd w:val="0"/>
        <w:spacing w:before="0" w:after="0" w:line="240" w:lineRule="auto"/>
        <w:rPr>
          <w:rFonts w:ascii="Gilroy-Regular" w:hAnsi="Gilroy-Regular"/>
          <w:bCs/>
          <w:sz w:val="24"/>
        </w:rPr>
      </w:pPr>
      <w:r w:rsidRPr="00C86C6F">
        <w:rPr>
          <w:rFonts w:ascii="Gilroy-Regular" w:hAnsi="Gilroy-Regular"/>
          <w:bCs/>
          <w:sz w:val="24"/>
        </w:rPr>
        <w:t>Academic Misconduct will not be tolerated.</w:t>
      </w:r>
      <w:r w:rsidRPr="00C86C6F">
        <w:rPr>
          <w:rFonts w:ascii="Cambria" w:hAnsi="Cambria" w:cs="Cambria"/>
          <w:bCs/>
          <w:sz w:val="24"/>
        </w:rPr>
        <w:t> </w:t>
      </w:r>
      <w:r w:rsidRPr="00C86C6F">
        <w:rPr>
          <w:rFonts w:ascii="Gilroy-Regular" w:hAnsi="Gilroy-Regular"/>
          <w:bCs/>
          <w:sz w:val="24"/>
        </w:rPr>
        <w:t>For a more precise definition of academic misconduct and its consequences, refer to the Student Rights and Responsibilities policy available at</w:t>
      </w:r>
      <w:r w:rsidRPr="00C86C6F">
        <w:rPr>
          <w:rFonts w:ascii="Cambria" w:hAnsi="Cambria" w:cs="Cambria"/>
          <w:bCs/>
          <w:sz w:val="24"/>
        </w:rPr>
        <w:t> </w:t>
      </w:r>
      <w:hyperlink r:id="rId9" w:tgtFrame="_blank" w:history="1">
        <w:r w:rsidRPr="00C86C6F">
          <w:rPr>
            <w:rStyle w:val="Hyperlink"/>
            <w:rFonts w:ascii="Gilroy-Regular" w:hAnsi="Gilroy-Regular"/>
            <w:bCs/>
            <w:sz w:val="24"/>
          </w:rPr>
          <w:t>https://www.nwpolytech.ca/about/administration/policies/index.html</w:t>
        </w:r>
      </w:hyperlink>
      <w:r w:rsidRPr="00C86C6F">
        <w:rPr>
          <w:rFonts w:ascii="Gilroy-Regular" w:hAnsi="Gilroy-Regular"/>
          <w:bCs/>
          <w:sz w:val="24"/>
        </w:rPr>
        <w:t>.</w:t>
      </w:r>
    </w:p>
    <w:p w14:paraId="2386D9A7" w14:textId="77777777" w:rsidR="00C5636D" w:rsidRPr="00C86C6F" w:rsidRDefault="00C5636D" w:rsidP="00C86C6F">
      <w:pPr>
        <w:autoSpaceDE w:val="0"/>
        <w:autoSpaceDN w:val="0"/>
        <w:adjustRightInd w:val="0"/>
        <w:spacing w:before="0" w:after="0" w:line="240" w:lineRule="auto"/>
        <w:rPr>
          <w:rFonts w:ascii="Gilroy-Regular" w:hAnsi="Gilroy-Regular"/>
          <w:sz w:val="24"/>
        </w:rPr>
      </w:pPr>
    </w:p>
    <w:p w14:paraId="0758A7A6" w14:textId="77777777" w:rsidR="00C5636D" w:rsidRPr="00C86C6F" w:rsidRDefault="00C5636D" w:rsidP="00C86C6F">
      <w:pPr>
        <w:spacing w:before="0" w:after="0" w:line="240" w:lineRule="auto"/>
        <w:ind w:left="-5"/>
        <w:rPr>
          <w:rFonts w:ascii="Gilroy-Regular" w:hAnsi="Gilroy-Regular"/>
          <w:sz w:val="24"/>
        </w:rPr>
      </w:pPr>
      <w:r w:rsidRPr="00C86C6F">
        <w:rPr>
          <w:rFonts w:ascii="Gilroy-Regular" w:hAnsi="Gilroy-Regular"/>
          <w:sz w:val="24"/>
        </w:rPr>
        <w:t>**Note: all Academic and Administrative policies are available on the same page.</w:t>
      </w:r>
    </w:p>
    <w:p w14:paraId="6F2445D2" w14:textId="77777777" w:rsidR="00C5636D" w:rsidRPr="00C86C6F" w:rsidRDefault="00C5636D" w:rsidP="00C86C6F">
      <w:pPr>
        <w:spacing w:before="0" w:after="0"/>
        <w:rPr>
          <w:rFonts w:ascii="Gilroy-Regular" w:hAnsi="Gilroy-Regular"/>
        </w:rPr>
      </w:pPr>
    </w:p>
    <w:p w14:paraId="18B661A1" w14:textId="77777777" w:rsidR="00C5636D" w:rsidRPr="00C86C6F" w:rsidRDefault="00C5636D" w:rsidP="00C86C6F">
      <w:pPr>
        <w:spacing w:before="0" w:after="0"/>
        <w:rPr>
          <w:rFonts w:ascii="Gilroy-Regular" w:hAnsi="Gilroy-Regular"/>
          <w:b/>
          <w:bCs/>
          <w:sz w:val="24"/>
        </w:rPr>
      </w:pPr>
      <w:r w:rsidRPr="00C86C6F">
        <w:rPr>
          <w:rFonts w:ascii="Gilroy-Regular" w:hAnsi="Gilroy-Regular"/>
          <w:b/>
          <w:bCs/>
          <w:sz w:val="24"/>
        </w:rPr>
        <w:t>Additional Information:</w:t>
      </w:r>
    </w:p>
    <w:p w14:paraId="27CC2891" w14:textId="77777777" w:rsidR="00C5636D" w:rsidRPr="00C86C6F" w:rsidRDefault="00C5636D" w:rsidP="00C86C6F">
      <w:pPr>
        <w:spacing w:before="0" w:after="0" w:line="240" w:lineRule="auto"/>
        <w:rPr>
          <w:rFonts w:ascii="Gilroy-Regular" w:hAnsi="Gilroy-Regular"/>
        </w:rPr>
      </w:pPr>
    </w:p>
    <w:p w14:paraId="5E3D1CAA" w14:textId="77777777" w:rsidR="00C5636D" w:rsidRPr="00C86C6F" w:rsidRDefault="00C5636D" w:rsidP="00C86C6F">
      <w:pPr>
        <w:spacing w:before="0" w:after="0"/>
        <w:rPr>
          <w:rFonts w:ascii="Gilroy-Regular" w:hAnsi="Gilroy-Regular"/>
          <w:sz w:val="24"/>
        </w:rPr>
      </w:pPr>
      <w:r w:rsidRPr="00C86C6F">
        <w:rPr>
          <w:rFonts w:ascii="Gilroy-Regular" w:hAnsi="Gilroy-Regular"/>
          <w:sz w:val="24"/>
        </w:rPr>
        <w:t xml:space="preserve">Instructors may include additional information here. Delete this section if not required. </w:t>
      </w:r>
    </w:p>
    <w:p w14:paraId="6981855D" w14:textId="77777777" w:rsidR="00C5636D" w:rsidRPr="00C86C6F" w:rsidRDefault="00C5636D" w:rsidP="00C5636D">
      <w:pPr>
        <w:rPr>
          <w:rFonts w:ascii="Gilroy-Regular" w:hAnsi="Gilroy-Regular"/>
          <w:lang w:eastAsia="en-CA"/>
        </w:rPr>
      </w:pPr>
    </w:p>
    <w:p w14:paraId="4F8F5903" w14:textId="77777777" w:rsidR="00000380" w:rsidRPr="00C86C6F" w:rsidRDefault="00000380" w:rsidP="00C5636D">
      <w:pPr>
        <w:spacing w:line="240" w:lineRule="auto"/>
        <w:rPr>
          <w:rFonts w:ascii="Gilroy-Regular" w:hAnsi="Gilroy-Regular"/>
          <w:sz w:val="22"/>
          <w:szCs w:val="22"/>
          <w:lang w:eastAsia="en-CA"/>
        </w:rPr>
      </w:pPr>
    </w:p>
    <w:sectPr w:rsidR="00000380" w:rsidRPr="00C86C6F" w:rsidSect="00A03D93">
      <w:headerReference w:type="default" r:id="rId10"/>
      <w:footerReference w:type="default" r:id="rId11"/>
      <w:pgSz w:w="12240" w:h="15840"/>
      <w:pgMar w:top="174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12F8" w14:textId="77777777" w:rsidR="009D097A" w:rsidRDefault="009D097A" w:rsidP="00A03D93">
      <w:pPr>
        <w:spacing w:before="0" w:after="0" w:line="240" w:lineRule="auto"/>
      </w:pPr>
      <w:r>
        <w:separator/>
      </w:r>
    </w:p>
  </w:endnote>
  <w:endnote w:type="continuationSeparator" w:id="0">
    <w:p w14:paraId="778E7F3E" w14:textId="77777777" w:rsidR="009D097A" w:rsidRDefault="009D097A" w:rsidP="00A03D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roy-Regular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roy-Medium">
    <w:altName w:val="Gilroy-Medium"/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roy-Medium" w:hAnsi="Gilroy-Medium"/>
      </w:rPr>
      <w:id w:val="-1722583443"/>
      <w:docPartObj>
        <w:docPartGallery w:val="Page Numbers (Bottom of Page)"/>
        <w:docPartUnique/>
      </w:docPartObj>
    </w:sdtPr>
    <w:sdtEndPr/>
    <w:sdtContent>
      <w:sdt>
        <w:sdtPr>
          <w:rPr>
            <w:rFonts w:ascii="Gilroy-Medium" w:hAnsi="Gilroy-Medium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CD140D" w14:textId="0D8B4B96" w:rsidR="009D097A" w:rsidRPr="00C5636D" w:rsidRDefault="009D097A">
            <w:pPr>
              <w:pStyle w:val="Footer"/>
              <w:jc w:val="right"/>
              <w:rPr>
                <w:rFonts w:ascii="Gilroy-Medium" w:hAnsi="Gilroy-Medium"/>
              </w:rPr>
            </w:pPr>
            <w:r w:rsidRPr="00C5636D">
              <w:rPr>
                <w:rFonts w:ascii="Gilroy-Medium" w:hAnsi="Gilroy-Medium"/>
              </w:rPr>
              <w:t xml:space="preserve">Page </w:t>
            </w:r>
            <w:r w:rsidRPr="00C5636D">
              <w:rPr>
                <w:rFonts w:ascii="Gilroy-Medium" w:hAnsi="Gilroy-Medium"/>
                <w:bCs/>
                <w:sz w:val="24"/>
              </w:rPr>
              <w:fldChar w:fldCharType="begin"/>
            </w:r>
            <w:r w:rsidRPr="00C5636D">
              <w:rPr>
                <w:rFonts w:ascii="Gilroy-Medium" w:hAnsi="Gilroy-Medium"/>
                <w:bCs/>
              </w:rPr>
              <w:instrText xml:space="preserve"> PAGE </w:instrText>
            </w:r>
            <w:r w:rsidRPr="00C5636D">
              <w:rPr>
                <w:rFonts w:ascii="Gilroy-Medium" w:hAnsi="Gilroy-Medium"/>
                <w:bCs/>
                <w:sz w:val="24"/>
              </w:rPr>
              <w:fldChar w:fldCharType="separate"/>
            </w:r>
            <w:r w:rsidRPr="00C5636D">
              <w:rPr>
                <w:rFonts w:ascii="Gilroy-Medium" w:hAnsi="Gilroy-Medium"/>
                <w:bCs/>
                <w:noProof/>
              </w:rPr>
              <w:t>1</w:t>
            </w:r>
            <w:r w:rsidRPr="00C5636D">
              <w:rPr>
                <w:rFonts w:ascii="Gilroy-Medium" w:hAnsi="Gilroy-Medium"/>
                <w:bCs/>
                <w:sz w:val="24"/>
              </w:rPr>
              <w:fldChar w:fldCharType="end"/>
            </w:r>
            <w:r w:rsidRPr="00C5636D">
              <w:rPr>
                <w:rFonts w:ascii="Gilroy-Medium" w:hAnsi="Gilroy-Medium"/>
              </w:rPr>
              <w:t xml:space="preserve"> of </w:t>
            </w:r>
            <w:r w:rsidRPr="00C5636D">
              <w:rPr>
                <w:rFonts w:ascii="Gilroy-Medium" w:hAnsi="Gilroy-Medium"/>
                <w:bCs/>
                <w:sz w:val="24"/>
              </w:rPr>
              <w:fldChar w:fldCharType="begin"/>
            </w:r>
            <w:r w:rsidRPr="00C5636D">
              <w:rPr>
                <w:rFonts w:ascii="Gilroy-Medium" w:hAnsi="Gilroy-Medium"/>
                <w:bCs/>
              </w:rPr>
              <w:instrText xml:space="preserve"> NUMPAGES  </w:instrText>
            </w:r>
            <w:r w:rsidRPr="00C5636D">
              <w:rPr>
                <w:rFonts w:ascii="Gilroy-Medium" w:hAnsi="Gilroy-Medium"/>
                <w:bCs/>
                <w:sz w:val="24"/>
              </w:rPr>
              <w:fldChar w:fldCharType="separate"/>
            </w:r>
            <w:r w:rsidRPr="00C5636D">
              <w:rPr>
                <w:rFonts w:ascii="Gilroy-Medium" w:hAnsi="Gilroy-Medium"/>
                <w:bCs/>
                <w:noProof/>
              </w:rPr>
              <w:t>11</w:t>
            </w:r>
            <w:r w:rsidRPr="00C5636D">
              <w:rPr>
                <w:rFonts w:ascii="Gilroy-Medium" w:hAnsi="Gilroy-Medium"/>
                <w:bCs/>
                <w:sz w:val="24"/>
              </w:rPr>
              <w:fldChar w:fldCharType="end"/>
            </w:r>
          </w:p>
        </w:sdtContent>
      </w:sdt>
    </w:sdtContent>
  </w:sdt>
  <w:p w14:paraId="44871C2D" w14:textId="77777777" w:rsidR="009D097A" w:rsidRPr="00C5636D" w:rsidRDefault="009D097A">
    <w:pPr>
      <w:pStyle w:val="Footer"/>
      <w:rPr>
        <w:rFonts w:ascii="Gilroy-Medium" w:hAnsi="Gilroy-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480F" w14:textId="77777777" w:rsidR="009D097A" w:rsidRDefault="009D097A" w:rsidP="00A03D93">
      <w:pPr>
        <w:spacing w:before="0" w:after="0" w:line="240" w:lineRule="auto"/>
      </w:pPr>
      <w:r>
        <w:separator/>
      </w:r>
    </w:p>
  </w:footnote>
  <w:footnote w:type="continuationSeparator" w:id="0">
    <w:p w14:paraId="7572309A" w14:textId="77777777" w:rsidR="009D097A" w:rsidRDefault="009D097A" w:rsidP="00A03D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6F6F" w14:textId="5EF3CBAE" w:rsidR="009D097A" w:rsidRPr="0023433F" w:rsidRDefault="00AD1C9E" w:rsidP="00A03D93">
    <w:pPr>
      <w:pStyle w:val="Header"/>
      <w:rPr>
        <w:rFonts w:ascii="Gilroy-Medium" w:hAnsi="Gilroy-Medium"/>
        <w:b/>
        <w:smallCaps/>
        <w:sz w:val="32"/>
        <w:szCs w:val="32"/>
        <w:lang w:val="en-US"/>
      </w:rPr>
    </w:pPr>
    <w:r w:rsidRPr="0023433F">
      <w:rPr>
        <w:rFonts w:ascii="Gilroy-Medium" w:hAnsi="Gilroy-Medium"/>
        <w:caps/>
        <w:smallCaps/>
        <w:noProof/>
        <w:sz w:val="32"/>
        <w:szCs w:val="32"/>
        <w:lang w:eastAsia="en-CA"/>
      </w:rPr>
      <w:drawing>
        <wp:anchor distT="0" distB="0" distL="114300" distR="114300" simplePos="0" relativeHeight="251657216" behindDoc="1" locked="0" layoutInCell="1" allowOverlap="1" wp14:anchorId="17A59DD8" wp14:editId="458D7921">
          <wp:simplePos x="0" y="0"/>
          <wp:positionH relativeFrom="margin">
            <wp:align>right</wp:align>
          </wp:positionH>
          <wp:positionV relativeFrom="paragraph">
            <wp:posOffset>128321</wp:posOffset>
          </wp:positionV>
          <wp:extent cx="2288337" cy="380390"/>
          <wp:effectExtent l="0" t="0" r="0" b="635"/>
          <wp:wrapNone/>
          <wp:docPr id="1" name="irc_m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gprc.thankyou4caring.org/view.image?Id=65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8337" cy="3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97A" w:rsidRPr="0023433F">
      <w:rPr>
        <w:rFonts w:ascii="Gilroy-Medium" w:hAnsi="Gilroy-Medium"/>
        <w:b/>
        <w:smallCaps/>
        <w:sz w:val="32"/>
        <w:szCs w:val="32"/>
        <w:lang w:val="en-US"/>
      </w:rPr>
      <w:br/>
      <w:t>COURSE OUTLINE POLICY</w:t>
    </w:r>
  </w:p>
  <w:p w14:paraId="4034AD72" w14:textId="77777777" w:rsidR="009D097A" w:rsidRPr="00A03D93" w:rsidRDefault="009D097A" w:rsidP="00A03D93">
    <w:pPr>
      <w:pStyle w:val="Header"/>
      <w:rPr>
        <w:rFonts w:ascii="Arial Bold" w:hAnsi="Arial Bold"/>
        <w:b/>
        <w:smallCaps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C1A"/>
    <w:multiLevelType w:val="multilevel"/>
    <w:tmpl w:val="5A18E24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731318"/>
    <w:multiLevelType w:val="hybridMultilevel"/>
    <w:tmpl w:val="7BA4C10A"/>
    <w:lvl w:ilvl="0" w:tplc="D8D642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7257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52CA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1EC5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6854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E45F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8AA7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322E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968E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C73E1"/>
    <w:multiLevelType w:val="multilevel"/>
    <w:tmpl w:val="950C6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C398E"/>
    <w:multiLevelType w:val="multilevel"/>
    <w:tmpl w:val="90CEA00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8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9A1A67"/>
    <w:multiLevelType w:val="multilevel"/>
    <w:tmpl w:val="328695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34F1988"/>
    <w:multiLevelType w:val="hybridMultilevel"/>
    <w:tmpl w:val="6AC21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E6FCB"/>
    <w:multiLevelType w:val="hybridMultilevel"/>
    <w:tmpl w:val="2F484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04A12"/>
    <w:multiLevelType w:val="hybridMultilevel"/>
    <w:tmpl w:val="AFA86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6680"/>
    <w:multiLevelType w:val="multilevel"/>
    <w:tmpl w:val="FE46830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1635078">
    <w:abstractNumId w:val="8"/>
  </w:num>
  <w:num w:numId="2" w16cid:durableId="785198847">
    <w:abstractNumId w:val="2"/>
  </w:num>
  <w:num w:numId="3" w16cid:durableId="1288315436">
    <w:abstractNumId w:val="1"/>
  </w:num>
  <w:num w:numId="4" w16cid:durableId="1560483910">
    <w:abstractNumId w:val="3"/>
  </w:num>
  <w:num w:numId="5" w16cid:durableId="379478812">
    <w:abstractNumId w:val="0"/>
  </w:num>
  <w:num w:numId="6" w16cid:durableId="797651376">
    <w:abstractNumId w:val="4"/>
  </w:num>
  <w:num w:numId="7" w16cid:durableId="840587894">
    <w:abstractNumId w:val="8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68" w:hanging="6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48" w:hanging="6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 w16cid:durableId="1776097400">
    <w:abstractNumId w:val="7"/>
  </w:num>
  <w:num w:numId="9" w16cid:durableId="555707541">
    <w:abstractNumId w:val="6"/>
  </w:num>
  <w:num w:numId="10" w16cid:durableId="1395618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revisionView w:markup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88"/>
    <w:rsid w:val="00000380"/>
    <w:rsid w:val="00002AAE"/>
    <w:rsid w:val="00032ABB"/>
    <w:rsid w:val="000553C9"/>
    <w:rsid w:val="0005636B"/>
    <w:rsid w:val="00093808"/>
    <w:rsid w:val="000955A7"/>
    <w:rsid w:val="000C1B4B"/>
    <w:rsid w:val="000E2310"/>
    <w:rsid w:val="00132361"/>
    <w:rsid w:val="0013559C"/>
    <w:rsid w:val="00141FF5"/>
    <w:rsid w:val="00180F3B"/>
    <w:rsid w:val="00185700"/>
    <w:rsid w:val="0019487F"/>
    <w:rsid w:val="001A41C0"/>
    <w:rsid w:val="001B46F2"/>
    <w:rsid w:val="001C454C"/>
    <w:rsid w:val="001E0D2C"/>
    <w:rsid w:val="001F2D02"/>
    <w:rsid w:val="001F3E55"/>
    <w:rsid w:val="001F5488"/>
    <w:rsid w:val="00216C5E"/>
    <w:rsid w:val="0023433F"/>
    <w:rsid w:val="00270234"/>
    <w:rsid w:val="00290928"/>
    <w:rsid w:val="002D5271"/>
    <w:rsid w:val="002D6A2B"/>
    <w:rsid w:val="003269B3"/>
    <w:rsid w:val="00327A3B"/>
    <w:rsid w:val="00345DCF"/>
    <w:rsid w:val="003474FE"/>
    <w:rsid w:val="00351864"/>
    <w:rsid w:val="003758BF"/>
    <w:rsid w:val="00393ECB"/>
    <w:rsid w:val="003A419C"/>
    <w:rsid w:val="003B2035"/>
    <w:rsid w:val="003E0464"/>
    <w:rsid w:val="004032B2"/>
    <w:rsid w:val="004114B9"/>
    <w:rsid w:val="00421E08"/>
    <w:rsid w:val="00442434"/>
    <w:rsid w:val="00492D6A"/>
    <w:rsid w:val="004A29B6"/>
    <w:rsid w:val="004F3B91"/>
    <w:rsid w:val="004F5FC0"/>
    <w:rsid w:val="00503638"/>
    <w:rsid w:val="0055162A"/>
    <w:rsid w:val="00562A6E"/>
    <w:rsid w:val="00580155"/>
    <w:rsid w:val="005C18BA"/>
    <w:rsid w:val="005E54F1"/>
    <w:rsid w:val="005F1549"/>
    <w:rsid w:val="00602FC2"/>
    <w:rsid w:val="0061021C"/>
    <w:rsid w:val="00650D39"/>
    <w:rsid w:val="00663EB8"/>
    <w:rsid w:val="006965EC"/>
    <w:rsid w:val="006A4BAE"/>
    <w:rsid w:val="006B520B"/>
    <w:rsid w:val="006E508C"/>
    <w:rsid w:val="006F38DA"/>
    <w:rsid w:val="00711C5B"/>
    <w:rsid w:val="00724C23"/>
    <w:rsid w:val="00747D77"/>
    <w:rsid w:val="00775449"/>
    <w:rsid w:val="007A7757"/>
    <w:rsid w:val="007E0112"/>
    <w:rsid w:val="007E5A90"/>
    <w:rsid w:val="00810E5D"/>
    <w:rsid w:val="00825BD1"/>
    <w:rsid w:val="00886A11"/>
    <w:rsid w:val="008A6142"/>
    <w:rsid w:val="008E62A8"/>
    <w:rsid w:val="008F0933"/>
    <w:rsid w:val="008F2764"/>
    <w:rsid w:val="009434EB"/>
    <w:rsid w:val="00984411"/>
    <w:rsid w:val="009A23BA"/>
    <w:rsid w:val="009B59DF"/>
    <w:rsid w:val="009C1D84"/>
    <w:rsid w:val="009D097A"/>
    <w:rsid w:val="009E1826"/>
    <w:rsid w:val="00A03D93"/>
    <w:rsid w:val="00A274C0"/>
    <w:rsid w:val="00A94213"/>
    <w:rsid w:val="00AD1C9E"/>
    <w:rsid w:val="00B01411"/>
    <w:rsid w:val="00B02A97"/>
    <w:rsid w:val="00B14484"/>
    <w:rsid w:val="00B20D5A"/>
    <w:rsid w:val="00B66ED0"/>
    <w:rsid w:val="00B9715E"/>
    <w:rsid w:val="00BB6BAF"/>
    <w:rsid w:val="00BC293F"/>
    <w:rsid w:val="00BD210E"/>
    <w:rsid w:val="00BF2BF8"/>
    <w:rsid w:val="00C10841"/>
    <w:rsid w:val="00C255B8"/>
    <w:rsid w:val="00C32D73"/>
    <w:rsid w:val="00C4690D"/>
    <w:rsid w:val="00C505CD"/>
    <w:rsid w:val="00C5636D"/>
    <w:rsid w:val="00C714FA"/>
    <w:rsid w:val="00C86C6F"/>
    <w:rsid w:val="00CA680D"/>
    <w:rsid w:val="00D22635"/>
    <w:rsid w:val="00D234E8"/>
    <w:rsid w:val="00D47AA1"/>
    <w:rsid w:val="00D531CE"/>
    <w:rsid w:val="00D84A3B"/>
    <w:rsid w:val="00D923C9"/>
    <w:rsid w:val="00DA34ED"/>
    <w:rsid w:val="00DB5339"/>
    <w:rsid w:val="00DB7A7F"/>
    <w:rsid w:val="00DD1CE9"/>
    <w:rsid w:val="00DE4385"/>
    <w:rsid w:val="00E031B2"/>
    <w:rsid w:val="00E25C9B"/>
    <w:rsid w:val="00E31C27"/>
    <w:rsid w:val="00E715D5"/>
    <w:rsid w:val="00EB1630"/>
    <w:rsid w:val="00ED63A7"/>
    <w:rsid w:val="00EE6B02"/>
    <w:rsid w:val="00EF091D"/>
    <w:rsid w:val="00F0700C"/>
    <w:rsid w:val="00F80D76"/>
    <w:rsid w:val="00F9048E"/>
    <w:rsid w:val="00F95944"/>
    <w:rsid w:val="00F96FF9"/>
    <w:rsid w:val="00FC28DD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D8FE3F"/>
  <w15:chartTrackingRefBased/>
  <w15:docId w15:val="{54E22A20-8D8C-4A17-856F-1F99698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D93"/>
    <w:pPr>
      <w:spacing w:before="60" w:after="60" w:line="276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10E5D"/>
    <w:pPr>
      <w:spacing w:before="0" w:after="400" w:line="312" w:lineRule="auto"/>
      <w:jc w:val="center"/>
      <w:outlineLvl w:val="0"/>
    </w:pPr>
    <w:rPr>
      <w:rFonts w:ascii="Century Gothic" w:hAnsi="Century Gothic" w:cs="Times New Roman"/>
      <w:sz w:val="3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10E5D"/>
    <w:pPr>
      <w:spacing w:before="180" w:after="0" w:line="312" w:lineRule="auto"/>
      <w:outlineLvl w:val="1"/>
    </w:pPr>
    <w:rPr>
      <w:rFonts w:ascii="Century Gothic" w:hAnsi="Century Gothic" w:cs="Times New Roman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MNP,Proposal,Header Row"/>
    <w:basedOn w:val="TableNormal"/>
    <w:uiPriority w:val="59"/>
    <w:rsid w:val="00A0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Numbered123">
    <w:name w:val="IT Numbered 123"/>
    <w:basedOn w:val="ListParagraph"/>
    <w:qFormat/>
    <w:rsid w:val="00A03D93"/>
    <w:pPr>
      <w:spacing w:before="240"/>
      <w:ind w:left="0"/>
      <w:contextualSpacing w:val="0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A03D9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03D93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D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D93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D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D93"/>
    <w:rPr>
      <w:rFonts w:ascii="Arial" w:eastAsia="Times New Roman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810E5D"/>
    <w:rPr>
      <w:rFonts w:ascii="Century Gothic" w:eastAsia="Times New Roman" w:hAnsi="Century Gothic" w:cs="Times New Roman"/>
      <w:sz w:val="3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10E5D"/>
    <w:rPr>
      <w:rFonts w:ascii="Century Gothic" w:eastAsia="Times New Roman" w:hAnsi="Century Gothic" w:cs="Times New Roman"/>
      <w:sz w:val="18"/>
      <w:szCs w:val="24"/>
      <w:lang w:val="en-US"/>
    </w:rPr>
  </w:style>
  <w:style w:type="character" w:styleId="Hyperlink">
    <w:name w:val="Hyperlink"/>
    <w:rsid w:val="00810E5D"/>
    <w:rPr>
      <w:rFonts w:cs="Times New Roman"/>
      <w:color w:val="0000FF"/>
      <w:u w:val="single"/>
    </w:rPr>
  </w:style>
  <w:style w:type="paragraph" w:customStyle="1" w:styleId="Default">
    <w:name w:val="Default"/>
    <w:rsid w:val="00810E5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  <w:style w:type="paragraph" w:customStyle="1" w:styleId="InstructorInformation">
    <w:name w:val="Instructor Information"/>
    <w:basedOn w:val="Normal"/>
    <w:rsid w:val="00810E5D"/>
    <w:pPr>
      <w:spacing w:before="0" w:after="0" w:line="240" w:lineRule="auto"/>
    </w:pPr>
    <w:rPr>
      <w:rFonts w:ascii="Century Gothic" w:hAnsi="Century Gothic" w:cs="Times New Roman"/>
      <w:sz w:val="18"/>
      <w:szCs w:val="16"/>
      <w:lang w:val="en-US"/>
    </w:rPr>
  </w:style>
  <w:style w:type="paragraph" w:styleId="NoSpacing">
    <w:name w:val="No Spacing"/>
    <w:qFormat/>
    <w:rsid w:val="00810E5D"/>
    <w:pPr>
      <w:spacing w:after="0" w:line="240" w:lineRule="auto"/>
    </w:pPr>
    <w:rPr>
      <w:rFonts w:ascii="Century Gothic" w:eastAsia="Calibri" w:hAnsi="Century Gothic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9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33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715D5"/>
    <w:pPr>
      <w:widowControl w:val="0"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7E5A9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5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A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A90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A90"/>
    <w:rPr>
      <w:rFonts w:ascii="Arial" w:eastAsia="Times New Roman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28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eralberta.alberta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wpolytech.ca/about/administration/policies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google.ca/url?sa=i&amp;rct=j&amp;q=&amp;esrc=s&amp;frm=1&amp;source=images&amp;cd=&amp;cad=rja&amp;docid=zfrghTcucyZodM&amp;tbnid=NXw78uSla2yARM:&amp;ved=0CAUQjRw&amp;url=https://www.gprc.ab.ca/alumni/inside_out/2013/dec_issue2.html&amp;ei=yB8UU6DvPKGCyQHZ14DwBg&amp;bvm=bv.61965928,d.aWc&amp;psig=AFQjCNEVWB_bykWxcAzYcoGDcBVECZLH3A&amp;ust=13939139735668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bertson\AppData\Local\Temp\Assistant\Academic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4775-FA41-4A41-B22D-04589E27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Policy Template</Template>
  <TotalTime>0</TotalTime>
  <Pages>9</Pages>
  <Words>1590</Words>
  <Characters>9384</Characters>
  <Application>Microsoft Office Word</Application>
  <DocSecurity>0</DocSecurity>
  <Lines>360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GPRC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Jennifer</dc:creator>
  <cp:keywords/>
  <dc:description/>
  <cp:lastModifiedBy>Moen, Wanda</cp:lastModifiedBy>
  <cp:revision>2</cp:revision>
  <cp:lastPrinted>2019-12-10T23:36:00Z</cp:lastPrinted>
  <dcterms:created xsi:type="dcterms:W3CDTF">2023-08-17T17:12:00Z</dcterms:created>
  <dcterms:modified xsi:type="dcterms:W3CDTF">2023-08-17T17:12:00Z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e283cd95f93f219776f4a6a5ac322772e0eeeecc3b2a9b9c700ed9e35c789424</vt:lpwstr>
  </property>
</Properties>
</file>